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1CB1" w14:textId="539FC33A" w:rsidR="0082048F" w:rsidRPr="001B3304" w:rsidRDefault="0082048F" w:rsidP="003E1822">
      <w:pPr>
        <w:pStyle w:val="NoSpacing"/>
        <w:rPr>
          <w:szCs w:val="24"/>
        </w:rPr>
      </w:pPr>
    </w:p>
    <w:p w14:paraId="11142D19" w14:textId="30CFC592" w:rsidR="004A4D10" w:rsidRPr="001B3304" w:rsidRDefault="00AF3234" w:rsidP="003E1822">
      <w:pPr>
        <w:pStyle w:val="Heading1"/>
        <w:spacing w:line="276" w:lineRule="auto"/>
        <w:rPr>
          <w:rFonts w:ascii="Arial" w:hAnsi="Arial" w:cs="Arial"/>
          <w:sz w:val="24"/>
          <w:szCs w:val="24"/>
        </w:rPr>
      </w:pPr>
      <w:bookmarkStart w:id="0" w:name="_Toc388964768"/>
      <w:bookmarkStart w:id="1" w:name="_Toc407797771"/>
      <w:bookmarkStart w:id="2" w:name="_Toc407798200"/>
      <w:bookmarkStart w:id="3" w:name="_Toc407798349"/>
      <w:bookmarkStart w:id="4" w:name="_Toc408421328"/>
      <w:bookmarkStart w:id="5" w:name="_Toc51514424"/>
      <w:bookmarkStart w:id="6" w:name="_Toc51514530"/>
      <w:bookmarkStart w:id="7" w:name="_Toc94364671"/>
      <w:bookmarkStart w:id="8" w:name="_Toc134294051"/>
      <w:r w:rsidRPr="001B3304">
        <w:rPr>
          <w:rFonts w:ascii="Arial" w:hAnsi="Arial" w:cs="Arial"/>
          <w:sz w:val="24"/>
          <w:szCs w:val="24"/>
        </w:rPr>
        <w:t>offences</w:t>
      </w:r>
      <w:bookmarkEnd w:id="0"/>
      <w:bookmarkEnd w:id="1"/>
      <w:bookmarkEnd w:id="2"/>
      <w:bookmarkEnd w:id="3"/>
      <w:bookmarkEnd w:id="4"/>
      <w:bookmarkEnd w:id="5"/>
      <w:bookmarkEnd w:id="6"/>
      <w:bookmarkEnd w:id="7"/>
      <w:bookmarkEnd w:id="8"/>
    </w:p>
    <w:p w14:paraId="4E12D7FF" w14:textId="77777777" w:rsidR="004A4D10" w:rsidRPr="001B3304" w:rsidRDefault="004A4D10" w:rsidP="003E1822">
      <w:pPr>
        <w:pStyle w:val="NoSpacing"/>
        <w:rPr>
          <w:szCs w:val="24"/>
        </w:rPr>
      </w:pPr>
    </w:p>
    <w:p w14:paraId="43F52927" w14:textId="77777777" w:rsidR="004A4D10" w:rsidRPr="001B3304" w:rsidRDefault="004A4D10" w:rsidP="003E1822">
      <w:pPr>
        <w:pStyle w:val="NoSpacing"/>
        <w:rPr>
          <w:szCs w:val="24"/>
        </w:rPr>
      </w:pPr>
    </w:p>
    <w:bookmarkStart w:id="9" w:name="_Toc134294052" w:displacedByCustomXml="next"/>
    <w:bookmarkStart w:id="10" w:name="_Toc94364672" w:displacedByCustomXml="next"/>
    <w:bookmarkStart w:id="11" w:name="_Toc51514531" w:displacedByCustomXml="next"/>
    <w:bookmarkStart w:id="12" w:name="_Toc51514425" w:displacedByCustomXml="next"/>
    <w:sdt>
      <w:sdtPr>
        <w:rPr>
          <w:rFonts w:ascii="Arial" w:hAnsi="Arial" w:cs="Arial"/>
          <w:b w:val="0"/>
          <w:caps w:val="0"/>
          <w:color w:val="000000"/>
          <w:sz w:val="24"/>
          <w:szCs w:val="24"/>
          <w14:textFill>
            <w14:solidFill>
              <w14:srgbClr w14:val="000000">
                <w14:lumMod w14:val="50000"/>
              </w14:srgbClr>
            </w14:solidFill>
          </w14:textFill>
        </w:rPr>
        <w:id w:val="-1936118180"/>
        <w:docPartObj>
          <w:docPartGallery w:val="Table of Contents"/>
          <w:docPartUnique/>
        </w:docPartObj>
      </w:sdtPr>
      <w:sdtEndPr>
        <w:rPr>
          <w:bCs/>
          <w:noProof/>
        </w:rPr>
      </w:sdtEndPr>
      <w:sdtContent>
        <w:p w14:paraId="73766001" w14:textId="335835FF" w:rsidR="0082048F" w:rsidRPr="001B3304" w:rsidRDefault="0082048F" w:rsidP="00777315">
          <w:pPr>
            <w:pStyle w:val="Heading1"/>
            <w:spacing w:line="480" w:lineRule="auto"/>
            <w:rPr>
              <w:rFonts w:ascii="Arial" w:hAnsi="Arial" w:cs="Arial"/>
              <w:color w:val="000000" w:themeColor="text1"/>
              <w:sz w:val="24"/>
              <w:szCs w:val="24"/>
            </w:rPr>
          </w:pPr>
          <w:r w:rsidRPr="001B3304">
            <w:rPr>
              <w:rFonts w:ascii="Arial" w:hAnsi="Arial" w:cs="Arial"/>
              <w:color w:val="000000" w:themeColor="text1"/>
              <w:sz w:val="24"/>
              <w:szCs w:val="24"/>
            </w:rPr>
            <w:t>Table of Contents</w:t>
          </w:r>
          <w:bookmarkEnd w:id="12"/>
          <w:bookmarkEnd w:id="11"/>
          <w:bookmarkEnd w:id="10"/>
          <w:bookmarkEnd w:id="9"/>
        </w:p>
        <w:p w14:paraId="7317E3F3" w14:textId="7F7224D9" w:rsidR="001B3304" w:rsidRPr="001B3304" w:rsidRDefault="0082048F" w:rsidP="00CC73A9">
          <w:pPr>
            <w:pStyle w:val="TOC1"/>
            <w:spacing w:line="600" w:lineRule="auto"/>
            <w:rPr>
              <w:rFonts w:eastAsiaTheme="minorEastAsia"/>
              <w:b w:val="0"/>
              <w:kern w:val="2"/>
              <w:lang w:val="en-CA"/>
              <w14:ligatures w14:val="standardContextual"/>
            </w:rPr>
          </w:pPr>
          <w:r w:rsidRPr="001B3304">
            <w:fldChar w:fldCharType="begin"/>
          </w:r>
          <w:r w:rsidRPr="001B3304">
            <w:instrText xml:space="preserve"> TOC \o "1-3" \h \z \u </w:instrText>
          </w:r>
          <w:r w:rsidRPr="001B3304">
            <w:fldChar w:fldCharType="separate"/>
          </w:r>
        </w:p>
        <w:p w14:paraId="001371C2" w14:textId="05AE6BB4" w:rsidR="001B3304" w:rsidRPr="00CC73A9" w:rsidRDefault="001B3304" w:rsidP="00CC73A9">
          <w:pPr>
            <w:pStyle w:val="TOC1"/>
            <w:spacing w:line="600" w:lineRule="auto"/>
            <w:rPr>
              <w:color w:val="0000FF"/>
              <w:u w:val="single"/>
            </w:rPr>
          </w:pPr>
          <w:hyperlink w:anchor="_Toc134294053" w:history="1">
            <w:r w:rsidRPr="001B3304">
              <w:rPr>
                <w:rStyle w:val="Hyperlink"/>
              </w:rPr>
              <w:t>PART I</w:t>
            </w:r>
            <w:r w:rsidRPr="001B3304">
              <w:rPr>
                <w:webHidden/>
              </w:rPr>
              <w:tab/>
            </w:r>
            <w:r w:rsidRPr="001B3304">
              <w:rPr>
                <w:webHidden/>
              </w:rPr>
              <w:fldChar w:fldCharType="begin"/>
            </w:r>
            <w:r w:rsidRPr="001B3304">
              <w:rPr>
                <w:webHidden/>
              </w:rPr>
              <w:instrText xml:space="preserve"> PAGEREF _Toc134294053 \h </w:instrText>
            </w:r>
            <w:r w:rsidRPr="001B3304">
              <w:rPr>
                <w:webHidden/>
              </w:rPr>
            </w:r>
            <w:r w:rsidRPr="001B3304">
              <w:rPr>
                <w:webHidden/>
              </w:rPr>
              <w:fldChar w:fldCharType="separate"/>
            </w:r>
            <w:r w:rsidR="00CC73A9">
              <w:rPr>
                <w:webHidden/>
              </w:rPr>
              <w:t>10</w:t>
            </w:r>
            <w:r w:rsidRPr="001B3304">
              <w:rPr>
                <w:webHidden/>
              </w:rPr>
              <w:fldChar w:fldCharType="end"/>
            </w:r>
          </w:hyperlink>
        </w:p>
        <w:p w14:paraId="2FDAA550" w14:textId="6CCE4CC8" w:rsidR="001B3304" w:rsidRPr="001B3304" w:rsidRDefault="001B3304" w:rsidP="00CC73A9">
          <w:pPr>
            <w:pStyle w:val="TOC2"/>
            <w:spacing w:line="600" w:lineRule="auto"/>
            <w:rPr>
              <w:rStyle w:val="Hyperlink"/>
              <w:rFonts w:ascii="Arial" w:hAnsi="Arial" w:cs="Arial"/>
              <w:noProof/>
              <w:sz w:val="24"/>
              <w:szCs w:val="24"/>
            </w:rPr>
          </w:pPr>
          <w:hyperlink w:anchor="_Toc134294054"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Attempts: s.24</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_Toc134294054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10</w:t>
            </w:r>
            <w:r w:rsidRPr="001B3304">
              <w:rPr>
                <w:rFonts w:ascii="Arial" w:hAnsi="Arial" w:cs="Arial"/>
                <w:noProof/>
                <w:webHidden/>
                <w:sz w:val="24"/>
                <w:szCs w:val="24"/>
              </w:rPr>
              <w:fldChar w:fldCharType="end"/>
            </w:r>
          </w:hyperlink>
        </w:p>
        <w:p w14:paraId="363299DF" w14:textId="77777777" w:rsidR="001B3304" w:rsidRPr="001B3304" w:rsidRDefault="001B3304" w:rsidP="00CC73A9">
          <w:pPr>
            <w:spacing w:line="600" w:lineRule="auto"/>
            <w:rPr>
              <w:rFonts w:ascii="Arial" w:eastAsiaTheme="minorEastAsia" w:hAnsi="Arial" w:cs="Arial"/>
              <w:noProof/>
              <w:lang w:val="en-US"/>
            </w:rPr>
          </w:pPr>
        </w:p>
        <w:p w14:paraId="62C5E969" w14:textId="4A1A1465" w:rsidR="001B3304" w:rsidRPr="00CC73A9" w:rsidRDefault="001B3304" w:rsidP="00CC73A9">
          <w:pPr>
            <w:pStyle w:val="TOC1"/>
            <w:spacing w:line="600" w:lineRule="auto"/>
            <w:rPr>
              <w:color w:val="0000FF"/>
              <w:u w:val="single"/>
            </w:rPr>
          </w:pPr>
          <w:hyperlink w:anchor="_Toc134294055" w:history="1">
            <w:r w:rsidRPr="001B3304">
              <w:rPr>
                <w:rStyle w:val="Hyperlink"/>
              </w:rPr>
              <w:t>PART III: FIREARMS AND OTHER WEAPONS</w:t>
            </w:r>
            <w:r w:rsidRPr="001B3304">
              <w:rPr>
                <w:webHidden/>
              </w:rPr>
              <w:tab/>
            </w:r>
            <w:r w:rsidRPr="001B3304">
              <w:rPr>
                <w:webHidden/>
              </w:rPr>
              <w:fldChar w:fldCharType="begin"/>
            </w:r>
            <w:r w:rsidRPr="001B3304">
              <w:rPr>
                <w:webHidden/>
              </w:rPr>
              <w:instrText xml:space="preserve"> PAGEREF _Toc134294055 \h </w:instrText>
            </w:r>
            <w:r w:rsidRPr="001B3304">
              <w:rPr>
                <w:webHidden/>
              </w:rPr>
            </w:r>
            <w:r w:rsidRPr="001B3304">
              <w:rPr>
                <w:webHidden/>
              </w:rPr>
              <w:fldChar w:fldCharType="separate"/>
            </w:r>
            <w:r w:rsidR="00CC73A9">
              <w:rPr>
                <w:webHidden/>
              </w:rPr>
              <w:t>10</w:t>
            </w:r>
            <w:r w:rsidRPr="001B3304">
              <w:rPr>
                <w:webHidden/>
              </w:rPr>
              <w:fldChar w:fldCharType="end"/>
            </w:r>
          </w:hyperlink>
        </w:p>
        <w:p w14:paraId="38D2647E" w14:textId="758A233E"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56"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Is it a Real Firearm?</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_Toc134294056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10</w:t>
            </w:r>
            <w:r w:rsidRPr="001B3304">
              <w:rPr>
                <w:rFonts w:ascii="Arial" w:hAnsi="Arial" w:cs="Arial"/>
                <w:noProof/>
                <w:webHidden/>
                <w:sz w:val="24"/>
                <w:szCs w:val="24"/>
              </w:rPr>
              <w:fldChar w:fldCharType="end"/>
            </w:r>
          </w:hyperlink>
        </w:p>
        <w:p w14:paraId="7A6607D1" w14:textId="202E94EA"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57" w:history="1">
            <w:r w:rsidRPr="001B3304">
              <w:rPr>
                <w:rStyle w:val="Hyperlink"/>
                <w:rFonts w:ascii="Arial" w:hAnsi="Arial" w:cs="Arial"/>
                <w:noProof/>
                <w:sz w:val="24"/>
                <w:szCs w:val="24"/>
              </w:rPr>
              <w:t>B.</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Unauthorized Transfer of a Firearm: Section 99(1)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_Toc134294057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10</w:t>
            </w:r>
            <w:r w:rsidRPr="001B3304">
              <w:rPr>
                <w:rFonts w:ascii="Arial" w:hAnsi="Arial" w:cs="Arial"/>
                <w:noProof/>
                <w:webHidden/>
                <w:sz w:val="24"/>
                <w:szCs w:val="24"/>
              </w:rPr>
              <w:fldChar w:fldCharType="end"/>
            </w:r>
          </w:hyperlink>
        </w:p>
        <w:p w14:paraId="3746D928" w14:textId="2705E79C"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58" w:history="1">
            <w:r w:rsidRPr="001B3304">
              <w:rPr>
                <w:rStyle w:val="Hyperlink"/>
                <w:rFonts w:ascii="Arial" w:hAnsi="Arial" w:cs="Arial"/>
                <w:noProof/>
                <w:sz w:val="24"/>
                <w:szCs w:val="24"/>
              </w:rPr>
              <w:t>C.</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Using Firearm in Commission of Offence: Section 85</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_Toc134294058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11</w:t>
            </w:r>
            <w:r w:rsidRPr="001B3304">
              <w:rPr>
                <w:rFonts w:ascii="Arial" w:hAnsi="Arial" w:cs="Arial"/>
                <w:noProof/>
                <w:webHidden/>
                <w:sz w:val="24"/>
                <w:szCs w:val="24"/>
              </w:rPr>
              <w:fldChar w:fldCharType="end"/>
            </w:r>
          </w:hyperlink>
        </w:p>
        <w:p w14:paraId="3405B3AA" w14:textId="2AC9012D"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59" w:history="1">
            <w:r w:rsidRPr="001B3304">
              <w:rPr>
                <w:rStyle w:val="Hyperlink"/>
                <w:rFonts w:ascii="Arial" w:hAnsi="Arial" w:cs="Arial"/>
                <w:noProof/>
                <w:sz w:val="24"/>
                <w:szCs w:val="24"/>
              </w:rPr>
              <w:t>D.</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Weapons Dangerous, Section 88(1)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_Toc134294059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11</w:t>
            </w:r>
            <w:r w:rsidRPr="001B3304">
              <w:rPr>
                <w:rFonts w:ascii="Arial" w:hAnsi="Arial" w:cs="Arial"/>
                <w:noProof/>
                <w:webHidden/>
                <w:sz w:val="24"/>
                <w:szCs w:val="24"/>
              </w:rPr>
              <w:fldChar w:fldCharType="end"/>
            </w:r>
          </w:hyperlink>
        </w:p>
        <w:p w14:paraId="59CA5C52" w14:textId="13ECBFA9" w:rsidR="001B3304" w:rsidRPr="001B3304" w:rsidRDefault="001B3304" w:rsidP="00CC73A9">
          <w:pPr>
            <w:pStyle w:val="TOC3"/>
            <w:rPr>
              <w:rFonts w:eastAsiaTheme="minorEastAsia"/>
              <w:noProof/>
              <w:kern w:val="2"/>
              <w:lang w:val="en-CA"/>
              <w14:ligatures w14:val="standardContextual"/>
            </w:rPr>
          </w:pPr>
          <w:hyperlink w:anchor="_Toc134294060"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Actus Reus</w:t>
            </w:r>
            <w:r w:rsidRPr="001B3304">
              <w:rPr>
                <w:noProof/>
                <w:webHidden/>
              </w:rPr>
              <w:tab/>
            </w:r>
            <w:r w:rsidRPr="001B3304">
              <w:rPr>
                <w:noProof/>
                <w:webHidden/>
              </w:rPr>
              <w:fldChar w:fldCharType="begin"/>
            </w:r>
            <w:r w:rsidRPr="001B3304">
              <w:rPr>
                <w:noProof/>
                <w:webHidden/>
              </w:rPr>
              <w:instrText xml:space="preserve"> PAGEREF _Toc134294060 \h </w:instrText>
            </w:r>
            <w:r w:rsidRPr="001B3304">
              <w:rPr>
                <w:noProof/>
                <w:webHidden/>
              </w:rPr>
            </w:r>
            <w:r w:rsidRPr="001B3304">
              <w:rPr>
                <w:noProof/>
                <w:webHidden/>
              </w:rPr>
              <w:fldChar w:fldCharType="separate"/>
            </w:r>
            <w:r w:rsidR="00CC73A9">
              <w:rPr>
                <w:noProof/>
                <w:webHidden/>
              </w:rPr>
              <w:t>11</w:t>
            </w:r>
            <w:r w:rsidRPr="001B3304">
              <w:rPr>
                <w:noProof/>
                <w:webHidden/>
              </w:rPr>
              <w:fldChar w:fldCharType="end"/>
            </w:r>
          </w:hyperlink>
        </w:p>
        <w:p w14:paraId="43448E48" w14:textId="0B09AA39" w:rsidR="001B3304" w:rsidRPr="001B3304" w:rsidRDefault="001B3304" w:rsidP="00CC73A9">
          <w:pPr>
            <w:pStyle w:val="TOC3"/>
            <w:rPr>
              <w:rFonts w:eastAsiaTheme="minorEastAsia"/>
              <w:noProof/>
              <w:kern w:val="2"/>
              <w:lang w:val="en-CA"/>
              <w14:ligatures w14:val="standardContextual"/>
            </w:rPr>
          </w:pPr>
          <w:hyperlink w:anchor="_Toc134294061"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Mens Rea</w:t>
            </w:r>
            <w:r w:rsidRPr="001B3304">
              <w:rPr>
                <w:noProof/>
                <w:webHidden/>
              </w:rPr>
              <w:tab/>
            </w:r>
            <w:r w:rsidRPr="001B3304">
              <w:rPr>
                <w:noProof/>
                <w:webHidden/>
              </w:rPr>
              <w:fldChar w:fldCharType="begin"/>
            </w:r>
            <w:r w:rsidRPr="001B3304">
              <w:rPr>
                <w:noProof/>
                <w:webHidden/>
              </w:rPr>
              <w:instrText xml:space="preserve"> PAGEREF _Toc134294061 \h </w:instrText>
            </w:r>
            <w:r w:rsidRPr="001B3304">
              <w:rPr>
                <w:noProof/>
                <w:webHidden/>
              </w:rPr>
            </w:r>
            <w:r w:rsidRPr="001B3304">
              <w:rPr>
                <w:noProof/>
                <w:webHidden/>
              </w:rPr>
              <w:fldChar w:fldCharType="separate"/>
            </w:r>
            <w:r w:rsidR="00CC73A9">
              <w:rPr>
                <w:noProof/>
                <w:webHidden/>
              </w:rPr>
              <w:t>11</w:t>
            </w:r>
            <w:r w:rsidRPr="001B3304">
              <w:rPr>
                <w:noProof/>
                <w:webHidden/>
              </w:rPr>
              <w:fldChar w:fldCharType="end"/>
            </w:r>
          </w:hyperlink>
        </w:p>
        <w:p w14:paraId="37105D28" w14:textId="3C8AD793" w:rsidR="001B3304" w:rsidRPr="00CC73A9" w:rsidRDefault="001B3304" w:rsidP="00CC73A9">
          <w:pPr>
            <w:pStyle w:val="TOC2"/>
            <w:spacing w:line="600" w:lineRule="auto"/>
            <w:rPr>
              <w:rFonts w:ascii="Arial" w:hAnsi="Arial" w:cs="Arial"/>
              <w:noProof/>
              <w:color w:val="0000FF"/>
              <w:sz w:val="24"/>
              <w:szCs w:val="24"/>
              <w:u w:val="single"/>
            </w:rPr>
          </w:pPr>
          <w:hyperlink w:anchor="_Toc134294062" w:history="1">
            <w:r w:rsidRPr="001B3304">
              <w:rPr>
                <w:rStyle w:val="Hyperlink"/>
                <w:rFonts w:ascii="Arial" w:hAnsi="Arial" w:cs="Arial"/>
                <w:noProof/>
                <w:sz w:val="24"/>
                <w:szCs w:val="24"/>
              </w:rPr>
              <w:t>E.</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Possession of a Weapon or Firearm Obtained by Commission of Offence: S. 96(2)</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_Toc134294062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12</w:t>
            </w:r>
            <w:r w:rsidRPr="001B3304">
              <w:rPr>
                <w:rFonts w:ascii="Arial" w:hAnsi="Arial" w:cs="Arial"/>
                <w:noProof/>
                <w:webHidden/>
                <w:sz w:val="24"/>
                <w:szCs w:val="24"/>
              </w:rPr>
              <w:fldChar w:fldCharType="end"/>
            </w:r>
          </w:hyperlink>
        </w:p>
        <w:p w14:paraId="6E97216D" w14:textId="151F7CA2" w:rsidR="001B3304" w:rsidRPr="00CC73A9" w:rsidRDefault="001B3304" w:rsidP="00CC73A9">
          <w:pPr>
            <w:pStyle w:val="TOC1"/>
            <w:spacing w:line="600" w:lineRule="auto"/>
            <w:rPr>
              <w:color w:val="0000FF"/>
              <w:u w:val="single"/>
            </w:rPr>
          </w:pPr>
          <w:hyperlink w:anchor="_Toc134294063" w:history="1">
            <w:r w:rsidRPr="001B3304">
              <w:rPr>
                <w:rStyle w:val="Hyperlink"/>
              </w:rPr>
              <w:t>PART IV: OFFENCES AGAINST THE ADMINISTRATION OF LAW AND JUSTICE</w:t>
            </w:r>
            <w:r w:rsidRPr="001B3304">
              <w:rPr>
                <w:webHidden/>
              </w:rPr>
              <w:tab/>
            </w:r>
            <w:r w:rsidRPr="001B3304">
              <w:rPr>
                <w:webHidden/>
              </w:rPr>
              <w:fldChar w:fldCharType="begin"/>
            </w:r>
            <w:r w:rsidRPr="001B3304">
              <w:rPr>
                <w:webHidden/>
              </w:rPr>
              <w:instrText xml:space="preserve"> PAGEREF _Toc134294063 \h </w:instrText>
            </w:r>
            <w:r w:rsidRPr="001B3304">
              <w:rPr>
                <w:webHidden/>
              </w:rPr>
            </w:r>
            <w:r w:rsidRPr="001B3304">
              <w:rPr>
                <w:webHidden/>
              </w:rPr>
              <w:fldChar w:fldCharType="separate"/>
            </w:r>
            <w:r w:rsidR="00CC73A9">
              <w:rPr>
                <w:webHidden/>
              </w:rPr>
              <w:t>13</w:t>
            </w:r>
            <w:r w:rsidRPr="001B3304">
              <w:rPr>
                <w:webHidden/>
              </w:rPr>
              <w:fldChar w:fldCharType="end"/>
            </w:r>
          </w:hyperlink>
        </w:p>
        <w:p w14:paraId="690F2E18" w14:textId="4CAF18C6"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64"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Breach of Trust by Public Officer: s.122</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_Toc134294064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13</w:t>
            </w:r>
            <w:r w:rsidRPr="001B3304">
              <w:rPr>
                <w:rFonts w:ascii="Arial" w:hAnsi="Arial" w:cs="Arial"/>
                <w:noProof/>
                <w:webHidden/>
                <w:sz w:val="24"/>
                <w:szCs w:val="24"/>
              </w:rPr>
              <w:fldChar w:fldCharType="end"/>
            </w:r>
          </w:hyperlink>
        </w:p>
        <w:p w14:paraId="06683380" w14:textId="2C5B76EE"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65" w:history="1">
            <w:r w:rsidRPr="001B3304">
              <w:rPr>
                <w:rStyle w:val="Hyperlink"/>
                <w:rFonts w:ascii="Arial" w:hAnsi="Arial" w:cs="Arial"/>
                <w:noProof/>
                <w:sz w:val="24"/>
                <w:szCs w:val="24"/>
              </w:rPr>
              <w:t>B.</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Obstruction of Justice: s.139</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_Toc134294065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14</w:t>
            </w:r>
            <w:r w:rsidRPr="001B3304">
              <w:rPr>
                <w:rFonts w:ascii="Arial" w:hAnsi="Arial" w:cs="Arial"/>
                <w:noProof/>
                <w:webHidden/>
                <w:sz w:val="24"/>
                <w:szCs w:val="24"/>
              </w:rPr>
              <w:fldChar w:fldCharType="end"/>
            </w:r>
          </w:hyperlink>
        </w:p>
        <w:p w14:paraId="668C74BD" w14:textId="0EF9A6CB"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66" w:history="1">
            <w:r w:rsidRPr="001B3304">
              <w:rPr>
                <w:rStyle w:val="Hyperlink"/>
                <w:rFonts w:ascii="Arial" w:hAnsi="Arial" w:cs="Arial"/>
                <w:noProof/>
                <w:sz w:val="24"/>
                <w:szCs w:val="24"/>
              </w:rPr>
              <w:t>C.</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Fail to Appear: s.145(5)</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_Toc134294066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14</w:t>
            </w:r>
            <w:r w:rsidRPr="001B3304">
              <w:rPr>
                <w:rFonts w:ascii="Arial" w:hAnsi="Arial" w:cs="Arial"/>
                <w:noProof/>
                <w:webHidden/>
                <w:sz w:val="24"/>
                <w:szCs w:val="24"/>
              </w:rPr>
              <w:fldChar w:fldCharType="end"/>
            </w:r>
          </w:hyperlink>
        </w:p>
        <w:p w14:paraId="35675C30" w14:textId="4AD1420D" w:rsidR="001B3304" w:rsidRDefault="001B3304" w:rsidP="00CC73A9">
          <w:pPr>
            <w:pStyle w:val="TOC3"/>
            <w:rPr>
              <w:rStyle w:val="Hyperlink"/>
              <w:rFonts w:ascii="Arial" w:hAnsi="Arial" w:cs="Arial"/>
              <w:noProof/>
              <w:sz w:val="24"/>
              <w:szCs w:val="24"/>
            </w:rPr>
          </w:pPr>
          <w:hyperlink w:anchor="_Toc134294067" w:history="1">
            <w:r w:rsidRPr="001B3304">
              <w:rPr>
                <w:rStyle w:val="Hyperlink"/>
                <w:rFonts w:ascii="Arial" w:hAnsi="Arial" w:cs="Arial"/>
                <w:noProof/>
                <w:sz w:val="24"/>
                <w:szCs w:val="24"/>
                <w14:scene3d>
                  <w14:camera w14:prst="orthographicFront"/>
                  <w14:lightRig w14:rig="threePt" w14:dir="t">
                    <w14:rot w14:lat="0" w14:lon="0" w14:rev="0"/>
                  </w14:lightRig>
                </w14:scene3d>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Proof of Identity</w:t>
            </w:r>
            <w:r w:rsidRPr="001B3304">
              <w:rPr>
                <w:noProof/>
                <w:webHidden/>
              </w:rPr>
              <w:tab/>
            </w:r>
            <w:r w:rsidRPr="001B3304">
              <w:rPr>
                <w:noProof/>
                <w:webHidden/>
              </w:rPr>
              <w:fldChar w:fldCharType="begin"/>
            </w:r>
            <w:r w:rsidRPr="001B3304">
              <w:rPr>
                <w:noProof/>
                <w:webHidden/>
              </w:rPr>
              <w:instrText xml:space="preserve"> PAGEREF _Toc134294067 \h </w:instrText>
            </w:r>
            <w:r w:rsidRPr="001B3304">
              <w:rPr>
                <w:noProof/>
                <w:webHidden/>
              </w:rPr>
            </w:r>
            <w:r w:rsidRPr="001B3304">
              <w:rPr>
                <w:noProof/>
                <w:webHidden/>
              </w:rPr>
              <w:fldChar w:fldCharType="separate"/>
            </w:r>
            <w:r w:rsidR="00CC73A9">
              <w:rPr>
                <w:noProof/>
                <w:webHidden/>
              </w:rPr>
              <w:t>15</w:t>
            </w:r>
            <w:r w:rsidRPr="001B3304">
              <w:rPr>
                <w:noProof/>
                <w:webHidden/>
              </w:rPr>
              <w:fldChar w:fldCharType="end"/>
            </w:r>
          </w:hyperlink>
        </w:p>
        <w:p w14:paraId="3B906AB0" w14:textId="77777777" w:rsidR="00CC73A9" w:rsidRPr="00CC73A9" w:rsidRDefault="00CC73A9" w:rsidP="00CC73A9">
          <w:pPr>
            <w:spacing w:line="600" w:lineRule="auto"/>
            <w:rPr>
              <w:rFonts w:eastAsiaTheme="minorEastAsia"/>
              <w:noProof/>
              <w:lang w:val="en-US"/>
            </w:rPr>
          </w:pPr>
        </w:p>
        <w:p w14:paraId="0338B892" w14:textId="1EC831D8" w:rsidR="001B3304" w:rsidRPr="00CC73A9" w:rsidRDefault="001B3304" w:rsidP="00CC73A9">
          <w:pPr>
            <w:pStyle w:val="TOC1"/>
            <w:spacing w:line="600" w:lineRule="auto"/>
            <w:rPr>
              <w:color w:val="0000FF"/>
              <w:u w:val="single"/>
            </w:rPr>
          </w:pPr>
          <w:hyperlink w:anchor="_Toc134294068" w:history="1">
            <w:r w:rsidRPr="001B3304">
              <w:rPr>
                <w:rStyle w:val="Hyperlink"/>
              </w:rPr>
              <w:t>PART V: SEXUAL OFFENCES, PUBLIC MORALS, AND DISORDERLY CONDUCT</w:t>
            </w:r>
            <w:r w:rsidRPr="001B3304">
              <w:rPr>
                <w:webHidden/>
              </w:rPr>
              <w:tab/>
            </w:r>
            <w:r w:rsidRPr="001B3304">
              <w:rPr>
                <w:webHidden/>
              </w:rPr>
              <w:fldChar w:fldCharType="begin"/>
            </w:r>
            <w:r w:rsidRPr="001B3304">
              <w:rPr>
                <w:webHidden/>
              </w:rPr>
              <w:instrText xml:space="preserve"> PAGEREF _Toc134294068 \h </w:instrText>
            </w:r>
            <w:r w:rsidRPr="001B3304">
              <w:rPr>
                <w:webHidden/>
              </w:rPr>
            </w:r>
            <w:r w:rsidRPr="001B3304">
              <w:rPr>
                <w:webHidden/>
              </w:rPr>
              <w:fldChar w:fldCharType="separate"/>
            </w:r>
            <w:r w:rsidR="00CC73A9">
              <w:rPr>
                <w:webHidden/>
              </w:rPr>
              <w:t>15</w:t>
            </w:r>
            <w:r w:rsidRPr="001B3304">
              <w:rPr>
                <w:webHidden/>
              </w:rPr>
              <w:fldChar w:fldCharType="end"/>
            </w:r>
          </w:hyperlink>
        </w:p>
        <w:p w14:paraId="4CC9C851" w14:textId="350F51F2"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69"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Sexual Interference: s.151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_Toc134294069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15</w:t>
            </w:r>
            <w:r w:rsidRPr="001B3304">
              <w:rPr>
                <w:rFonts w:ascii="Arial" w:hAnsi="Arial" w:cs="Arial"/>
                <w:noProof/>
                <w:webHidden/>
                <w:sz w:val="24"/>
                <w:szCs w:val="24"/>
              </w:rPr>
              <w:fldChar w:fldCharType="end"/>
            </w:r>
          </w:hyperlink>
        </w:p>
        <w:p w14:paraId="7416ADBB" w14:textId="29AD931F" w:rsidR="001B3304" w:rsidRPr="001B3304" w:rsidRDefault="001B3304" w:rsidP="00CC73A9">
          <w:pPr>
            <w:pStyle w:val="TOC3"/>
            <w:rPr>
              <w:rFonts w:eastAsiaTheme="minorEastAsia"/>
              <w:noProof/>
              <w:kern w:val="2"/>
              <w:lang w:val="en-CA"/>
              <w14:ligatures w14:val="standardContextual"/>
            </w:rPr>
          </w:pPr>
          <w:hyperlink w:anchor="_Toc134294070" w:history="1">
            <w:r w:rsidRPr="001B3304">
              <w:rPr>
                <w:rStyle w:val="Hyperlink"/>
                <w:rFonts w:ascii="Arial" w:hAnsi="Arial" w:cs="Arial"/>
                <w:noProof/>
                <w:sz w:val="24"/>
                <w:szCs w:val="24"/>
                <w14:scene3d>
                  <w14:camera w14:prst="orthographicFront"/>
                  <w14:lightRig w14:rig="threePt" w14:dir="t">
                    <w14:rot w14:lat="0" w14:lon="0" w14:rev="0"/>
                  </w14:lightRig>
                </w14:scene3d>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Elements of the Offence</w:t>
            </w:r>
            <w:r w:rsidRPr="001B3304">
              <w:rPr>
                <w:noProof/>
                <w:webHidden/>
              </w:rPr>
              <w:tab/>
            </w:r>
            <w:r w:rsidRPr="001B3304">
              <w:rPr>
                <w:noProof/>
                <w:webHidden/>
              </w:rPr>
              <w:fldChar w:fldCharType="begin"/>
            </w:r>
            <w:r w:rsidRPr="001B3304">
              <w:rPr>
                <w:noProof/>
                <w:webHidden/>
              </w:rPr>
              <w:instrText xml:space="preserve"> PAGEREF _Toc134294070 \h </w:instrText>
            </w:r>
            <w:r w:rsidRPr="001B3304">
              <w:rPr>
                <w:noProof/>
                <w:webHidden/>
              </w:rPr>
            </w:r>
            <w:r w:rsidRPr="001B3304">
              <w:rPr>
                <w:noProof/>
                <w:webHidden/>
              </w:rPr>
              <w:fldChar w:fldCharType="separate"/>
            </w:r>
            <w:r w:rsidR="00CC73A9">
              <w:rPr>
                <w:noProof/>
                <w:webHidden/>
              </w:rPr>
              <w:t>15</w:t>
            </w:r>
            <w:r w:rsidRPr="001B3304">
              <w:rPr>
                <w:noProof/>
                <w:webHidden/>
              </w:rPr>
              <w:fldChar w:fldCharType="end"/>
            </w:r>
          </w:hyperlink>
        </w:p>
        <w:p w14:paraId="2513C4C3" w14:textId="11F4B923"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71" w:history="1">
            <w:r w:rsidRPr="001B3304">
              <w:rPr>
                <w:rStyle w:val="Hyperlink"/>
                <w:rFonts w:ascii="Arial" w:hAnsi="Arial" w:cs="Arial"/>
                <w:noProof/>
                <w:sz w:val="24"/>
                <w:szCs w:val="24"/>
              </w:rPr>
              <w:t>B.</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Invitation to Sexual Touching: S.152</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_Toc134294071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16</w:t>
            </w:r>
            <w:r w:rsidRPr="001B3304">
              <w:rPr>
                <w:rFonts w:ascii="Arial" w:hAnsi="Arial" w:cs="Arial"/>
                <w:noProof/>
                <w:webHidden/>
                <w:sz w:val="24"/>
                <w:szCs w:val="24"/>
              </w:rPr>
              <w:fldChar w:fldCharType="end"/>
            </w:r>
          </w:hyperlink>
        </w:p>
        <w:p w14:paraId="027040FD" w14:textId="6993E0A3" w:rsidR="001B3304" w:rsidRPr="001B3304" w:rsidRDefault="001B3304" w:rsidP="00CC73A9">
          <w:pPr>
            <w:pStyle w:val="TOC3"/>
            <w:rPr>
              <w:rFonts w:eastAsiaTheme="minorEastAsia"/>
              <w:noProof/>
              <w:kern w:val="2"/>
              <w:lang w:val="en-CA"/>
              <w14:ligatures w14:val="standardContextual"/>
            </w:rPr>
          </w:pPr>
          <w:hyperlink w:anchor="_Toc134294072" w:history="1">
            <w:r w:rsidRPr="001B3304">
              <w:rPr>
                <w:rStyle w:val="Hyperlink"/>
                <w:rFonts w:ascii="Arial" w:hAnsi="Arial" w:cs="Arial"/>
                <w:noProof/>
                <w:sz w:val="24"/>
                <w:szCs w:val="24"/>
                <w14:scene3d>
                  <w14:camera w14:prst="orthographicFront"/>
                  <w14:lightRig w14:rig="threePt" w14:dir="t">
                    <w14:rot w14:lat="0" w14:lon="0" w14:rev="0"/>
                  </w14:lightRig>
                </w14:scene3d>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The Defence of Honest but Mistaken Belief in Age: s.150.1(4)</w:t>
            </w:r>
            <w:r w:rsidRPr="001B3304">
              <w:rPr>
                <w:noProof/>
                <w:webHidden/>
              </w:rPr>
              <w:tab/>
            </w:r>
            <w:r w:rsidRPr="001B3304">
              <w:rPr>
                <w:noProof/>
                <w:webHidden/>
              </w:rPr>
              <w:fldChar w:fldCharType="begin"/>
            </w:r>
            <w:r w:rsidRPr="001B3304">
              <w:rPr>
                <w:noProof/>
                <w:webHidden/>
              </w:rPr>
              <w:instrText xml:space="preserve"> PAGEREF _Toc134294072 \h </w:instrText>
            </w:r>
            <w:r w:rsidRPr="001B3304">
              <w:rPr>
                <w:noProof/>
                <w:webHidden/>
              </w:rPr>
            </w:r>
            <w:r w:rsidRPr="001B3304">
              <w:rPr>
                <w:noProof/>
                <w:webHidden/>
              </w:rPr>
              <w:fldChar w:fldCharType="separate"/>
            </w:r>
            <w:r w:rsidR="00CC73A9">
              <w:rPr>
                <w:noProof/>
                <w:webHidden/>
              </w:rPr>
              <w:t>17</w:t>
            </w:r>
            <w:r w:rsidRPr="001B3304">
              <w:rPr>
                <w:noProof/>
                <w:webHidden/>
              </w:rPr>
              <w:fldChar w:fldCharType="end"/>
            </w:r>
          </w:hyperlink>
        </w:p>
        <w:p w14:paraId="2779DCB7" w14:textId="372A95DF"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73" w:history="1">
            <w:r w:rsidRPr="001B3304">
              <w:rPr>
                <w:rStyle w:val="Hyperlink"/>
                <w:rFonts w:ascii="Arial" w:hAnsi="Arial" w:cs="Arial"/>
                <w:noProof/>
                <w:sz w:val="24"/>
                <w:szCs w:val="24"/>
              </w:rPr>
              <w:t>C.</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Sexual Exploitation: s.153</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_Toc134294073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20</w:t>
            </w:r>
            <w:r w:rsidRPr="001B3304">
              <w:rPr>
                <w:rFonts w:ascii="Arial" w:hAnsi="Arial" w:cs="Arial"/>
                <w:noProof/>
                <w:webHidden/>
                <w:sz w:val="24"/>
                <w:szCs w:val="24"/>
              </w:rPr>
              <w:fldChar w:fldCharType="end"/>
            </w:r>
          </w:hyperlink>
        </w:p>
        <w:p w14:paraId="091511CE" w14:textId="4411330A"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74" w:history="1">
            <w:r w:rsidRPr="001B3304">
              <w:rPr>
                <w:rStyle w:val="Hyperlink"/>
                <w:rFonts w:ascii="Arial" w:hAnsi="Arial" w:cs="Arial"/>
                <w:noProof/>
                <w:sz w:val="24"/>
                <w:szCs w:val="24"/>
              </w:rPr>
              <w:t>D.</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Voyeurism: s.162</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_Toc134294074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20</w:t>
            </w:r>
            <w:r w:rsidRPr="001B3304">
              <w:rPr>
                <w:rFonts w:ascii="Arial" w:hAnsi="Arial" w:cs="Arial"/>
                <w:noProof/>
                <w:webHidden/>
                <w:sz w:val="24"/>
                <w:szCs w:val="24"/>
              </w:rPr>
              <w:fldChar w:fldCharType="end"/>
            </w:r>
          </w:hyperlink>
        </w:p>
        <w:p w14:paraId="0858D498" w14:textId="435CC07D"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75" w:history="1">
            <w:r w:rsidRPr="001B3304">
              <w:rPr>
                <w:rStyle w:val="Hyperlink"/>
                <w:rFonts w:ascii="Arial" w:hAnsi="Arial" w:cs="Arial"/>
                <w:noProof/>
                <w:sz w:val="24"/>
                <w:szCs w:val="24"/>
              </w:rPr>
              <w:t>E.</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Distribute Intimate Image: s.162.1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_Toc134294075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21</w:t>
            </w:r>
            <w:r w:rsidRPr="001B3304">
              <w:rPr>
                <w:rFonts w:ascii="Arial" w:hAnsi="Arial" w:cs="Arial"/>
                <w:noProof/>
                <w:webHidden/>
                <w:sz w:val="24"/>
                <w:szCs w:val="24"/>
              </w:rPr>
              <w:fldChar w:fldCharType="end"/>
            </w:r>
          </w:hyperlink>
        </w:p>
        <w:p w14:paraId="52E08D01" w14:textId="43C483F9"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76" w:history="1">
            <w:r w:rsidRPr="001B3304">
              <w:rPr>
                <w:rStyle w:val="Hyperlink"/>
                <w:rFonts w:ascii="Arial" w:hAnsi="Arial" w:cs="Arial"/>
                <w:noProof/>
                <w:sz w:val="24"/>
                <w:szCs w:val="24"/>
              </w:rPr>
              <w:t>F.</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Child pornography: s.163</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_Toc134294076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21</w:t>
            </w:r>
            <w:r w:rsidRPr="001B3304">
              <w:rPr>
                <w:rFonts w:ascii="Arial" w:hAnsi="Arial" w:cs="Arial"/>
                <w:noProof/>
                <w:webHidden/>
                <w:sz w:val="24"/>
                <w:szCs w:val="24"/>
              </w:rPr>
              <w:fldChar w:fldCharType="end"/>
            </w:r>
          </w:hyperlink>
        </w:p>
        <w:p w14:paraId="0B8E4BA3" w14:textId="75D44F2D" w:rsidR="001B3304" w:rsidRPr="001B3304" w:rsidRDefault="001B3304" w:rsidP="00CC73A9">
          <w:pPr>
            <w:pStyle w:val="TOC3"/>
            <w:rPr>
              <w:rFonts w:eastAsiaTheme="minorEastAsia"/>
              <w:noProof/>
              <w:kern w:val="2"/>
              <w:lang w:val="en-CA"/>
              <w14:ligatures w14:val="standardContextual"/>
            </w:rPr>
          </w:pPr>
          <w:hyperlink w:anchor="_Toc134294077" w:history="1">
            <w:r w:rsidRPr="001B3304">
              <w:rPr>
                <w:rStyle w:val="Hyperlink"/>
                <w:rFonts w:ascii="Arial" w:hAnsi="Arial" w:cs="Arial"/>
                <w:noProof/>
                <w:sz w:val="24"/>
                <w:szCs w:val="24"/>
                <w14:scene3d>
                  <w14:camera w14:prst="orthographicFront"/>
                  <w14:lightRig w14:rig="threePt" w14:dir="t">
                    <w14:rot w14:lat="0" w14:lon="0" w14:rev="0"/>
                  </w14:lightRig>
                </w14:scene3d>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Definition of Child Pornography</w:t>
            </w:r>
            <w:r w:rsidRPr="001B3304">
              <w:rPr>
                <w:noProof/>
                <w:webHidden/>
              </w:rPr>
              <w:tab/>
            </w:r>
            <w:r w:rsidRPr="001B3304">
              <w:rPr>
                <w:noProof/>
                <w:webHidden/>
              </w:rPr>
              <w:fldChar w:fldCharType="begin"/>
            </w:r>
            <w:r w:rsidRPr="001B3304">
              <w:rPr>
                <w:noProof/>
                <w:webHidden/>
              </w:rPr>
              <w:instrText xml:space="preserve"> PAGEREF _Toc134294077 \h </w:instrText>
            </w:r>
            <w:r w:rsidRPr="001B3304">
              <w:rPr>
                <w:noProof/>
                <w:webHidden/>
              </w:rPr>
            </w:r>
            <w:r w:rsidRPr="001B3304">
              <w:rPr>
                <w:noProof/>
                <w:webHidden/>
              </w:rPr>
              <w:fldChar w:fldCharType="separate"/>
            </w:r>
            <w:r w:rsidR="00CC73A9">
              <w:rPr>
                <w:noProof/>
                <w:webHidden/>
              </w:rPr>
              <w:t>21</w:t>
            </w:r>
            <w:r w:rsidRPr="001B3304">
              <w:rPr>
                <w:noProof/>
                <w:webHidden/>
              </w:rPr>
              <w:fldChar w:fldCharType="end"/>
            </w:r>
          </w:hyperlink>
        </w:p>
        <w:p w14:paraId="6CF871BF" w14:textId="0F22E707" w:rsidR="001B3304" w:rsidRPr="001B3304" w:rsidRDefault="001B3304" w:rsidP="00CC73A9">
          <w:pPr>
            <w:pStyle w:val="TOC3"/>
            <w:rPr>
              <w:rFonts w:eastAsiaTheme="minorEastAsia"/>
              <w:noProof/>
              <w:kern w:val="2"/>
              <w:lang w:val="en-CA"/>
              <w14:ligatures w14:val="standardContextual"/>
            </w:rPr>
          </w:pPr>
          <w:hyperlink w:anchor="_Toc134294078" w:history="1">
            <w:r w:rsidRPr="001B3304">
              <w:rPr>
                <w:rStyle w:val="Hyperlink"/>
                <w:rFonts w:ascii="Arial" w:hAnsi="Arial" w:cs="Arial"/>
                <w:noProof/>
                <w:sz w:val="24"/>
                <w:szCs w:val="24"/>
                <w14:scene3d>
                  <w14:camera w14:prst="orthographicFront"/>
                  <w14:lightRig w14:rig="threePt" w14:dir="t">
                    <w14:rot w14:lat="0" w14:lon="0" w14:rev="0"/>
                  </w14:lightRig>
                </w14:scene3d>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Mens Rea</w:t>
            </w:r>
            <w:r w:rsidRPr="001B3304">
              <w:rPr>
                <w:noProof/>
                <w:webHidden/>
              </w:rPr>
              <w:tab/>
            </w:r>
            <w:r w:rsidRPr="001B3304">
              <w:rPr>
                <w:noProof/>
                <w:webHidden/>
              </w:rPr>
              <w:fldChar w:fldCharType="begin"/>
            </w:r>
            <w:r w:rsidRPr="001B3304">
              <w:rPr>
                <w:noProof/>
                <w:webHidden/>
              </w:rPr>
              <w:instrText xml:space="preserve"> PAGEREF _Toc134294078 \h </w:instrText>
            </w:r>
            <w:r w:rsidRPr="001B3304">
              <w:rPr>
                <w:noProof/>
                <w:webHidden/>
              </w:rPr>
            </w:r>
            <w:r w:rsidRPr="001B3304">
              <w:rPr>
                <w:noProof/>
                <w:webHidden/>
              </w:rPr>
              <w:fldChar w:fldCharType="separate"/>
            </w:r>
            <w:r w:rsidR="00CC73A9">
              <w:rPr>
                <w:noProof/>
                <w:webHidden/>
              </w:rPr>
              <w:t>22</w:t>
            </w:r>
            <w:r w:rsidRPr="001B3304">
              <w:rPr>
                <w:noProof/>
                <w:webHidden/>
              </w:rPr>
              <w:fldChar w:fldCharType="end"/>
            </w:r>
          </w:hyperlink>
        </w:p>
        <w:p w14:paraId="12309BCF" w14:textId="7D0547E0" w:rsidR="001B3304" w:rsidRPr="001B3304" w:rsidRDefault="001B3304" w:rsidP="00CC73A9">
          <w:pPr>
            <w:pStyle w:val="TOC3"/>
            <w:rPr>
              <w:rFonts w:eastAsiaTheme="minorEastAsia"/>
              <w:noProof/>
              <w:kern w:val="2"/>
              <w:lang w:val="en-CA"/>
              <w14:ligatures w14:val="standardContextual"/>
            </w:rPr>
          </w:pPr>
          <w:hyperlink w:anchor="_Toc134294079" w:history="1">
            <w:r w:rsidRPr="001B3304">
              <w:rPr>
                <w:rStyle w:val="Hyperlink"/>
                <w:rFonts w:ascii="Arial" w:hAnsi="Arial" w:cs="Arial"/>
                <w:noProof/>
                <w:sz w:val="24"/>
                <w:szCs w:val="24"/>
                <w14:scene3d>
                  <w14:camera w14:prst="orthographicFront"/>
                  <w14:lightRig w14:rig="threePt" w14:dir="t">
                    <w14:rot w14:lat="0" w14:lon="0" w14:rev="0"/>
                  </w14:lightRig>
                </w14:scene3d>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Advocating or Counselling Sexual Activity with Children: S.163.1(b)</w:t>
            </w:r>
            <w:r w:rsidRPr="001B3304">
              <w:rPr>
                <w:noProof/>
                <w:webHidden/>
              </w:rPr>
              <w:tab/>
            </w:r>
            <w:r w:rsidRPr="001B3304">
              <w:rPr>
                <w:noProof/>
                <w:webHidden/>
              </w:rPr>
              <w:fldChar w:fldCharType="begin"/>
            </w:r>
            <w:r w:rsidRPr="001B3304">
              <w:rPr>
                <w:noProof/>
                <w:webHidden/>
              </w:rPr>
              <w:instrText xml:space="preserve"> PAGEREF _Toc134294079 \h </w:instrText>
            </w:r>
            <w:r w:rsidRPr="001B3304">
              <w:rPr>
                <w:noProof/>
                <w:webHidden/>
              </w:rPr>
            </w:r>
            <w:r w:rsidRPr="001B3304">
              <w:rPr>
                <w:noProof/>
                <w:webHidden/>
              </w:rPr>
              <w:fldChar w:fldCharType="separate"/>
            </w:r>
            <w:r w:rsidR="00CC73A9">
              <w:rPr>
                <w:noProof/>
                <w:webHidden/>
              </w:rPr>
              <w:t>22</w:t>
            </w:r>
            <w:r w:rsidRPr="001B3304">
              <w:rPr>
                <w:noProof/>
                <w:webHidden/>
              </w:rPr>
              <w:fldChar w:fldCharType="end"/>
            </w:r>
          </w:hyperlink>
        </w:p>
        <w:p w14:paraId="6DD60B92" w14:textId="6D9EDA70" w:rsidR="001B3304" w:rsidRPr="001B3304" w:rsidRDefault="001B3304" w:rsidP="00CC73A9">
          <w:pPr>
            <w:pStyle w:val="TOC3"/>
            <w:rPr>
              <w:rFonts w:eastAsiaTheme="minorEastAsia"/>
              <w:noProof/>
              <w:kern w:val="2"/>
              <w:lang w:val="en-CA"/>
              <w14:ligatures w14:val="standardContextual"/>
            </w:rPr>
          </w:pPr>
          <w:hyperlink w:anchor="_Toc134294080" w:history="1">
            <w:r w:rsidRPr="001B3304">
              <w:rPr>
                <w:rStyle w:val="Hyperlink"/>
                <w:rFonts w:ascii="Arial" w:hAnsi="Arial" w:cs="Arial"/>
                <w:noProof/>
                <w:sz w:val="24"/>
                <w:szCs w:val="24"/>
                <w14:scene3d>
                  <w14:camera w14:prst="orthographicFront"/>
                  <w14:lightRig w14:rig="threePt" w14:dir="t">
                    <w14:rot w14:lat="0" w14:lon="0" w14:rev="0"/>
                  </w14:lightRig>
                </w14:scene3d>
              </w:rPr>
              <w:t>iv.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Making Child Pornography Available: s.163.1(3)</w:t>
            </w:r>
            <w:r w:rsidRPr="001B3304">
              <w:rPr>
                <w:noProof/>
                <w:webHidden/>
              </w:rPr>
              <w:tab/>
            </w:r>
            <w:r w:rsidRPr="001B3304">
              <w:rPr>
                <w:noProof/>
                <w:webHidden/>
              </w:rPr>
              <w:fldChar w:fldCharType="begin"/>
            </w:r>
            <w:r w:rsidRPr="001B3304">
              <w:rPr>
                <w:noProof/>
                <w:webHidden/>
              </w:rPr>
              <w:instrText xml:space="preserve"> PAGEREF _Toc134294080 \h </w:instrText>
            </w:r>
            <w:r w:rsidRPr="001B3304">
              <w:rPr>
                <w:noProof/>
                <w:webHidden/>
              </w:rPr>
            </w:r>
            <w:r w:rsidRPr="001B3304">
              <w:rPr>
                <w:noProof/>
                <w:webHidden/>
              </w:rPr>
              <w:fldChar w:fldCharType="separate"/>
            </w:r>
            <w:r w:rsidR="00CC73A9">
              <w:rPr>
                <w:noProof/>
                <w:webHidden/>
              </w:rPr>
              <w:t>22</w:t>
            </w:r>
            <w:r w:rsidRPr="001B3304">
              <w:rPr>
                <w:noProof/>
                <w:webHidden/>
              </w:rPr>
              <w:fldChar w:fldCharType="end"/>
            </w:r>
          </w:hyperlink>
        </w:p>
        <w:p w14:paraId="4786C2CB" w14:textId="5F4D6F4B" w:rsidR="001B3304" w:rsidRPr="001B3304" w:rsidRDefault="001B3304" w:rsidP="00CC73A9">
          <w:pPr>
            <w:pStyle w:val="TOC3"/>
            <w:rPr>
              <w:rFonts w:eastAsiaTheme="minorEastAsia"/>
              <w:noProof/>
              <w:kern w:val="2"/>
              <w:lang w:val="en-CA"/>
              <w14:ligatures w14:val="standardContextual"/>
            </w:rPr>
          </w:pPr>
          <w:hyperlink w:anchor="_Toc134294081" w:history="1">
            <w:r w:rsidRPr="001B3304">
              <w:rPr>
                <w:rStyle w:val="Hyperlink"/>
                <w:rFonts w:ascii="Arial" w:hAnsi="Arial" w:cs="Arial"/>
                <w:noProof/>
                <w:sz w:val="24"/>
                <w:szCs w:val="24"/>
                <w14:scene3d>
                  <w14:camera w14:prst="orthographicFront"/>
                  <w14:lightRig w14:rig="threePt" w14:dir="t">
                    <w14:rot w14:lat="0" w14:lon="0" w14:rev="0"/>
                  </w14:lightRig>
                </w14:scene3d>
              </w:rPr>
              <w:t>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Legitimate Purpose Defence: s.163.1(6)(a)</w:t>
            </w:r>
            <w:r w:rsidRPr="001B3304">
              <w:rPr>
                <w:noProof/>
                <w:webHidden/>
              </w:rPr>
              <w:tab/>
            </w:r>
            <w:r w:rsidRPr="001B3304">
              <w:rPr>
                <w:noProof/>
                <w:webHidden/>
              </w:rPr>
              <w:fldChar w:fldCharType="begin"/>
            </w:r>
            <w:r w:rsidRPr="001B3304">
              <w:rPr>
                <w:noProof/>
                <w:webHidden/>
              </w:rPr>
              <w:instrText xml:space="preserve"> PAGEREF _Toc134294081 \h </w:instrText>
            </w:r>
            <w:r w:rsidRPr="001B3304">
              <w:rPr>
                <w:noProof/>
                <w:webHidden/>
              </w:rPr>
            </w:r>
            <w:r w:rsidRPr="001B3304">
              <w:rPr>
                <w:noProof/>
                <w:webHidden/>
              </w:rPr>
              <w:fldChar w:fldCharType="separate"/>
            </w:r>
            <w:r w:rsidR="00CC73A9">
              <w:rPr>
                <w:noProof/>
                <w:webHidden/>
              </w:rPr>
              <w:t>23</w:t>
            </w:r>
            <w:r w:rsidRPr="001B3304">
              <w:rPr>
                <w:noProof/>
                <w:webHidden/>
              </w:rPr>
              <w:fldChar w:fldCharType="end"/>
            </w:r>
          </w:hyperlink>
        </w:p>
        <w:p w14:paraId="17EBCF2C" w14:textId="5B159BD3" w:rsidR="001B3304" w:rsidRPr="001B3304" w:rsidRDefault="001B3304" w:rsidP="00CC73A9">
          <w:pPr>
            <w:pStyle w:val="TOC3"/>
            <w:rPr>
              <w:rFonts w:eastAsiaTheme="minorEastAsia"/>
              <w:noProof/>
              <w:kern w:val="2"/>
              <w:lang w:val="en-CA"/>
              <w14:ligatures w14:val="standardContextual"/>
            </w:rPr>
          </w:pPr>
          <w:hyperlink w:anchor="_Toc134294082" w:history="1">
            <w:r w:rsidRPr="001B3304">
              <w:rPr>
                <w:rStyle w:val="Hyperlink"/>
                <w:rFonts w:ascii="Arial" w:hAnsi="Arial" w:cs="Arial"/>
                <w:noProof/>
                <w:sz w:val="24"/>
                <w:szCs w:val="24"/>
                <w14:scene3d>
                  <w14:camera w14:prst="orthographicFront"/>
                  <w14:lightRig w14:rig="threePt" w14:dir="t">
                    <w14:rot w14:lat="0" w14:lon="0" w14:rev="0"/>
                  </w14:lightRig>
                </w14:scene3d>
              </w:rPr>
              <w:t>vi.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The Private use Exception</w:t>
            </w:r>
            <w:r w:rsidRPr="001B3304">
              <w:rPr>
                <w:noProof/>
                <w:webHidden/>
              </w:rPr>
              <w:tab/>
            </w:r>
            <w:r w:rsidRPr="001B3304">
              <w:rPr>
                <w:noProof/>
                <w:webHidden/>
              </w:rPr>
              <w:fldChar w:fldCharType="begin"/>
            </w:r>
            <w:r w:rsidRPr="001B3304">
              <w:rPr>
                <w:noProof/>
                <w:webHidden/>
              </w:rPr>
              <w:instrText xml:space="preserve"> PAGEREF _Toc134294082 \h </w:instrText>
            </w:r>
            <w:r w:rsidRPr="001B3304">
              <w:rPr>
                <w:noProof/>
                <w:webHidden/>
              </w:rPr>
            </w:r>
            <w:r w:rsidRPr="001B3304">
              <w:rPr>
                <w:noProof/>
                <w:webHidden/>
              </w:rPr>
              <w:fldChar w:fldCharType="separate"/>
            </w:r>
            <w:r w:rsidR="00CC73A9">
              <w:rPr>
                <w:noProof/>
                <w:webHidden/>
              </w:rPr>
              <w:t>24</w:t>
            </w:r>
            <w:r w:rsidRPr="001B3304">
              <w:rPr>
                <w:noProof/>
                <w:webHidden/>
              </w:rPr>
              <w:fldChar w:fldCharType="end"/>
            </w:r>
          </w:hyperlink>
        </w:p>
        <w:p w14:paraId="4C779444" w14:textId="2FC506B9"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83" w:history="1">
            <w:r w:rsidRPr="001B3304">
              <w:rPr>
                <w:rStyle w:val="Hyperlink"/>
                <w:rFonts w:ascii="Arial" w:hAnsi="Arial" w:cs="Arial"/>
                <w:noProof/>
                <w:sz w:val="24"/>
                <w:szCs w:val="24"/>
              </w:rPr>
              <w:t>G.</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Child Luring</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_Toc134294083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24</w:t>
            </w:r>
            <w:r w:rsidRPr="001B3304">
              <w:rPr>
                <w:rFonts w:ascii="Arial" w:hAnsi="Arial" w:cs="Arial"/>
                <w:noProof/>
                <w:webHidden/>
                <w:sz w:val="24"/>
                <w:szCs w:val="24"/>
              </w:rPr>
              <w:fldChar w:fldCharType="end"/>
            </w:r>
          </w:hyperlink>
        </w:p>
        <w:p w14:paraId="227FC0E8" w14:textId="6EF48415" w:rsidR="001B3304" w:rsidRPr="001B3304" w:rsidRDefault="001B3304" w:rsidP="00CC73A9">
          <w:pPr>
            <w:pStyle w:val="TOC1"/>
            <w:spacing w:line="600" w:lineRule="auto"/>
            <w:rPr>
              <w:rFonts w:eastAsiaTheme="minorEastAsia"/>
              <w:b w:val="0"/>
              <w:kern w:val="2"/>
              <w:lang w:val="en-CA"/>
              <w14:ligatures w14:val="standardContextual"/>
            </w:rPr>
          </w:pPr>
          <w:hyperlink w:anchor="_Toc134294084" w:history="1">
            <w:r w:rsidRPr="001B3304">
              <w:rPr>
                <w:rStyle w:val="Hyperlink"/>
              </w:rPr>
              <w:t>Part VI: Invasion of Privacy</w:t>
            </w:r>
            <w:r w:rsidRPr="001B3304">
              <w:rPr>
                <w:webHidden/>
              </w:rPr>
              <w:tab/>
            </w:r>
            <w:r w:rsidRPr="001B3304">
              <w:rPr>
                <w:webHidden/>
              </w:rPr>
              <w:fldChar w:fldCharType="begin"/>
            </w:r>
            <w:r w:rsidRPr="001B3304">
              <w:rPr>
                <w:webHidden/>
              </w:rPr>
              <w:instrText xml:space="preserve"> PAGEREF _Toc134294084 \h </w:instrText>
            </w:r>
            <w:r w:rsidRPr="001B3304">
              <w:rPr>
                <w:webHidden/>
              </w:rPr>
            </w:r>
            <w:r w:rsidRPr="001B3304">
              <w:rPr>
                <w:webHidden/>
              </w:rPr>
              <w:fldChar w:fldCharType="separate"/>
            </w:r>
            <w:r w:rsidR="00CC73A9">
              <w:rPr>
                <w:webHidden/>
              </w:rPr>
              <w:t>25</w:t>
            </w:r>
            <w:r w:rsidRPr="001B3304">
              <w:rPr>
                <w:webHidden/>
              </w:rPr>
              <w:fldChar w:fldCharType="end"/>
            </w:r>
          </w:hyperlink>
        </w:p>
        <w:p w14:paraId="1A1853B5" w14:textId="722372B7" w:rsidR="001B3304" w:rsidRPr="001B3304" w:rsidRDefault="001B3304" w:rsidP="00CC73A9">
          <w:pPr>
            <w:pStyle w:val="TOC2"/>
            <w:spacing w:line="600" w:lineRule="auto"/>
            <w:rPr>
              <w:rStyle w:val="Hyperlink"/>
              <w:rFonts w:ascii="Arial" w:hAnsi="Arial" w:cs="Arial"/>
              <w:noProof/>
              <w:sz w:val="24"/>
              <w:szCs w:val="24"/>
            </w:rPr>
          </w:pPr>
          <w:hyperlink w:anchor="_Toc134294085"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S.193: Disclosure of Information</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_Toc134294085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26</w:t>
            </w:r>
            <w:r w:rsidRPr="001B3304">
              <w:rPr>
                <w:rFonts w:ascii="Arial" w:hAnsi="Arial" w:cs="Arial"/>
                <w:noProof/>
                <w:webHidden/>
                <w:sz w:val="24"/>
                <w:szCs w:val="24"/>
              </w:rPr>
              <w:fldChar w:fldCharType="end"/>
            </w:r>
          </w:hyperlink>
        </w:p>
        <w:p w14:paraId="48EECB48" w14:textId="77777777" w:rsidR="001B3304" w:rsidRPr="001B3304" w:rsidRDefault="001B3304" w:rsidP="00CC73A9">
          <w:pPr>
            <w:spacing w:line="600" w:lineRule="auto"/>
            <w:rPr>
              <w:rFonts w:ascii="Arial" w:eastAsiaTheme="minorEastAsia" w:hAnsi="Arial" w:cs="Arial"/>
              <w:noProof/>
              <w:lang w:val="en-US"/>
            </w:rPr>
          </w:pPr>
        </w:p>
        <w:p w14:paraId="794F02B2" w14:textId="4B7E9BB4" w:rsidR="001B3304" w:rsidRPr="00CC73A9" w:rsidRDefault="001B3304" w:rsidP="00CC73A9">
          <w:pPr>
            <w:pStyle w:val="TOC1"/>
            <w:spacing w:line="600" w:lineRule="auto"/>
            <w:rPr>
              <w:color w:val="0000FF"/>
              <w:u w:val="single"/>
            </w:rPr>
          </w:pPr>
          <w:hyperlink w:anchor="_Toc134294086" w:history="1">
            <w:r w:rsidRPr="001B3304">
              <w:rPr>
                <w:rStyle w:val="Hyperlink"/>
              </w:rPr>
              <w:t>PART VIII: OFFENCES AGAINST THE PERSON AND REPUTATION</w:t>
            </w:r>
            <w:r w:rsidRPr="001B3304">
              <w:rPr>
                <w:webHidden/>
              </w:rPr>
              <w:tab/>
            </w:r>
            <w:r w:rsidRPr="001B3304">
              <w:rPr>
                <w:webHidden/>
              </w:rPr>
              <w:fldChar w:fldCharType="begin"/>
            </w:r>
            <w:r w:rsidRPr="001B3304">
              <w:rPr>
                <w:webHidden/>
              </w:rPr>
              <w:instrText xml:space="preserve"> PAGEREF _Toc134294086 \h </w:instrText>
            </w:r>
            <w:r w:rsidRPr="001B3304">
              <w:rPr>
                <w:webHidden/>
              </w:rPr>
            </w:r>
            <w:r w:rsidRPr="001B3304">
              <w:rPr>
                <w:webHidden/>
              </w:rPr>
              <w:fldChar w:fldCharType="separate"/>
            </w:r>
            <w:r w:rsidR="00CC73A9">
              <w:rPr>
                <w:webHidden/>
              </w:rPr>
              <w:t>26</w:t>
            </w:r>
            <w:r w:rsidRPr="001B3304">
              <w:rPr>
                <w:webHidden/>
              </w:rPr>
              <w:fldChar w:fldCharType="end"/>
            </w:r>
          </w:hyperlink>
        </w:p>
        <w:p w14:paraId="4458D769" w14:textId="468219EC"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87"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Fail to Provide the Necessaries: s.215</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_Toc134294087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26</w:t>
            </w:r>
            <w:r w:rsidRPr="001B3304">
              <w:rPr>
                <w:rFonts w:ascii="Arial" w:hAnsi="Arial" w:cs="Arial"/>
                <w:noProof/>
                <w:webHidden/>
                <w:sz w:val="24"/>
                <w:szCs w:val="24"/>
              </w:rPr>
              <w:fldChar w:fldCharType="end"/>
            </w:r>
          </w:hyperlink>
        </w:p>
        <w:p w14:paraId="1F4CBE06" w14:textId="357F3D26" w:rsidR="001B3304" w:rsidRPr="001B3304" w:rsidRDefault="001B3304" w:rsidP="00CC73A9">
          <w:pPr>
            <w:pStyle w:val="TOC3"/>
            <w:rPr>
              <w:rFonts w:eastAsiaTheme="minorEastAsia"/>
              <w:noProof/>
              <w:kern w:val="2"/>
              <w:lang w:val="en-CA"/>
              <w14:ligatures w14:val="standardContextual"/>
            </w:rPr>
          </w:pPr>
          <w:hyperlink w:anchor="_Toc134294088"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General Principles</w:t>
            </w:r>
            <w:r w:rsidRPr="001B3304">
              <w:rPr>
                <w:noProof/>
                <w:webHidden/>
              </w:rPr>
              <w:tab/>
            </w:r>
            <w:r w:rsidRPr="001B3304">
              <w:rPr>
                <w:noProof/>
                <w:webHidden/>
              </w:rPr>
              <w:fldChar w:fldCharType="begin"/>
            </w:r>
            <w:r w:rsidRPr="001B3304">
              <w:rPr>
                <w:noProof/>
                <w:webHidden/>
              </w:rPr>
              <w:instrText xml:space="preserve"> PAGEREF _Toc134294088 \h </w:instrText>
            </w:r>
            <w:r w:rsidRPr="001B3304">
              <w:rPr>
                <w:noProof/>
                <w:webHidden/>
              </w:rPr>
            </w:r>
            <w:r w:rsidRPr="001B3304">
              <w:rPr>
                <w:noProof/>
                <w:webHidden/>
              </w:rPr>
              <w:fldChar w:fldCharType="separate"/>
            </w:r>
            <w:r w:rsidR="00CC73A9">
              <w:rPr>
                <w:noProof/>
                <w:webHidden/>
              </w:rPr>
              <w:t>26</w:t>
            </w:r>
            <w:r w:rsidRPr="001B3304">
              <w:rPr>
                <w:noProof/>
                <w:webHidden/>
              </w:rPr>
              <w:fldChar w:fldCharType="end"/>
            </w:r>
          </w:hyperlink>
        </w:p>
        <w:p w14:paraId="5E22AEB7" w14:textId="261D87FC" w:rsidR="001B3304" w:rsidRPr="001B3304" w:rsidRDefault="001B3304" w:rsidP="00CC73A9">
          <w:pPr>
            <w:pStyle w:val="TOC3"/>
            <w:rPr>
              <w:rFonts w:eastAsiaTheme="minorEastAsia"/>
              <w:noProof/>
              <w:kern w:val="2"/>
              <w:lang w:val="en-CA"/>
              <w14:ligatures w14:val="standardContextual"/>
            </w:rPr>
          </w:pPr>
          <w:hyperlink w:anchor="_Toc134294089"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Section 215(2)</w:t>
            </w:r>
            <w:r w:rsidRPr="001B3304">
              <w:rPr>
                <w:noProof/>
                <w:webHidden/>
              </w:rPr>
              <w:tab/>
            </w:r>
            <w:r w:rsidRPr="001B3304">
              <w:rPr>
                <w:noProof/>
                <w:webHidden/>
              </w:rPr>
              <w:fldChar w:fldCharType="begin"/>
            </w:r>
            <w:r w:rsidRPr="001B3304">
              <w:rPr>
                <w:noProof/>
                <w:webHidden/>
              </w:rPr>
              <w:instrText xml:space="preserve"> PAGEREF _Toc134294089 \h </w:instrText>
            </w:r>
            <w:r w:rsidRPr="001B3304">
              <w:rPr>
                <w:noProof/>
                <w:webHidden/>
              </w:rPr>
            </w:r>
            <w:r w:rsidRPr="001B3304">
              <w:rPr>
                <w:noProof/>
                <w:webHidden/>
              </w:rPr>
              <w:fldChar w:fldCharType="separate"/>
            </w:r>
            <w:r w:rsidR="00CC73A9">
              <w:rPr>
                <w:noProof/>
                <w:webHidden/>
              </w:rPr>
              <w:t>27</w:t>
            </w:r>
            <w:r w:rsidRPr="001B3304">
              <w:rPr>
                <w:noProof/>
                <w:webHidden/>
              </w:rPr>
              <w:fldChar w:fldCharType="end"/>
            </w:r>
          </w:hyperlink>
        </w:p>
        <w:p w14:paraId="739587B5" w14:textId="70A706A7" w:rsidR="001B3304" w:rsidRPr="001B3304" w:rsidRDefault="001B3304" w:rsidP="00CC73A9">
          <w:pPr>
            <w:pStyle w:val="TOC3"/>
            <w:rPr>
              <w:rFonts w:eastAsiaTheme="minorEastAsia"/>
              <w:noProof/>
              <w:kern w:val="2"/>
              <w:lang w:val="en-CA"/>
              <w14:ligatures w14:val="standardContextual"/>
            </w:rPr>
          </w:pPr>
          <w:hyperlink w:anchor="_Toc134294090" w:history="1">
            <w:r w:rsidRPr="001B3304">
              <w:rPr>
                <w:rStyle w:val="Hyperlink"/>
                <w:rFonts w:ascii="Arial" w:hAnsi="Arial" w:cs="Arial"/>
                <w:noProof/>
                <w:sz w:val="24"/>
                <w:szCs w:val="24"/>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Section 215(2)(b)</w:t>
            </w:r>
            <w:r w:rsidRPr="001B3304">
              <w:rPr>
                <w:noProof/>
                <w:webHidden/>
              </w:rPr>
              <w:tab/>
            </w:r>
            <w:r w:rsidRPr="001B3304">
              <w:rPr>
                <w:noProof/>
                <w:webHidden/>
              </w:rPr>
              <w:fldChar w:fldCharType="begin"/>
            </w:r>
            <w:r w:rsidRPr="001B3304">
              <w:rPr>
                <w:noProof/>
                <w:webHidden/>
              </w:rPr>
              <w:instrText xml:space="preserve"> PAGEREF _Toc134294090 \h </w:instrText>
            </w:r>
            <w:r w:rsidRPr="001B3304">
              <w:rPr>
                <w:noProof/>
                <w:webHidden/>
              </w:rPr>
            </w:r>
            <w:r w:rsidRPr="001B3304">
              <w:rPr>
                <w:noProof/>
                <w:webHidden/>
              </w:rPr>
              <w:fldChar w:fldCharType="separate"/>
            </w:r>
            <w:r w:rsidR="00CC73A9">
              <w:rPr>
                <w:noProof/>
                <w:webHidden/>
              </w:rPr>
              <w:t>27</w:t>
            </w:r>
            <w:r w:rsidRPr="001B3304">
              <w:rPr>
                <w:noProof/>
                <w:webHidden/>
              </w:rPr>
              <w:fldChar w:fldCharType="end"/>
            </w:r>
          </w:hyperlink>
        </w:p>
        <w:p w14:paraId="4A8413CE" w14:textId="5A151984" w:rsidR="001B3304" w:rsidRPr="001B3304" w:rsidRDefault="001B3304" w:rsidP="00CC73A9">
          <w:pPr>
            <w:pStyle w:val="TOC3"/>
            <w:rPr>
              <w:rFonts w:eastAsiaTheme="minorEastAsia"/>
              <w:noProof/>
              <w:kern w:val="2"/>
              <w:lang w:val="en-CA"/>
              <w14:ligatures w14:val="standardContextual"/>
            </w:rPr>
          </w:pPr>
          <w:hyperlink w:anchor="_Toc134294091"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Harm and Necessaries - In respect of Children</w:t>
            </w:r>
            <w:r w:rsidRPr="001B3304">
              <w:rPr>
                <w:noProof/>
                <w:webHidden/>
              </w:rPr>
              <w:tab/>
            </w:r>
            <w:r w:rsidRPr="001B3304">
              <w:rPr>
                <w:noProof/>
                <w:webHidden/>
              </w:rPr>
              <w:fldChar w:fldCharType="begin"/>
            </w:r>
            <w:r w:rsidRPr="001B3304">
              <w:rPr>
                <w:noProof/>
                <w:webHidden/>
              </w:rPr>
              <w:instrText xml:space="preserve"> PAGEREF _Toc134294091 \h </w:instrText>
            </w:r>
            <w:r w:rsidRPr="001B3304">
              <w:rPr>
                <w:noProof/>
                <w:webHidden/>
              </w:rPr>
            </w:r>
            <w:r w:rsidRPr="001B3304">
              <w:rPr>
                <w:noProof/>
                <w:webHidden/>
              </w:rPr>
              <w:fldChar w:fldCharType="separate"/>
            </w:r>
            <w:r w:rsidR="00CC73A9">
              <w:rPr>
                <w:noProof/>
                <w:webHidden/>
              </w:rPr>
              <w:t>28</w:t>
            </w:r>
            <w:r w:rsidRPr="001B3304">
              <w:rPr>
                <w:noProof/>
                <w:webHidden/>
              </w:rPr>
              <w:fldChar w:fldCharType="end"/>
            </w:r>
          </w:hyperlink>
        </w:p>
        <w:p w14:paraId="47F892CA" w14:textId="43D47134" w:rsidR="001B3304" w:rsidRPr="001B3304" w:rsidRDefault="001B3304" w:rsidP="00CC73A9">
          <w:pPr>
            <w:pStyle w:val="TOC3"/>
            <w:rPr>
              <w:rFonts w:eastAsiaTheme="minorEastAsia"/>
              <w:noProof/>
              <w:kern w:val="2"/>
              <w:lang w:val="en-CA"/>
              <w14:ligatures w14:val="standardContextual"/>
            </w:rPr>
          </w:pPr>
          <w:hyperlink w:anchor="_Toc134294092"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In respect of Accused in Police Custody</w:t>
            </w:r>
            <w:r w:rsidRPr="001B3304">
              <w:rPr>
                <w:noProof/>
                <w:webHidden/>
              </w:rPr>
              <w:tab/>
            </w:r>
            <w:r w:rsidRPr="001B3304">
              <w:rPr>
                <w:noProof/>
                <w:webHidden/>
              </w:rPr>
              <w:fldChar w:fldCharType="begin"/>
            </w:r>
            <w:r w:rsidRPr="001B3304">
              <w:rPr>
                <w:noProof/>
                <w:webHidden/>
              </w:rPr>
              <w:instrText xml:space="preserve"> PAGEREF _Toc134294092 \h </w:instrText>
            </w:r>
            <w:r w:rsidRPr="001B3304">
              <w:rPr>
                <w:noProof/>
                <w:webHidden/>
              </w:rPr>
            </w:r>
            <w:r w:rsidRPr="001B3304">
              <w:rPr>
                <w:noProof/>
                <w:webHidden/>
              </w:rPr>
              <w:fldChar w:fldCharType="separate"/>
            </w:r>
            <w:r w:rsidR="00CC73A9">
              <w:rPr>
                <w:noProof/>
                <w:webHidden/>
              </w:rPr>
              <w:t>29</w:t>
            </w:r>
            <w:r w:rsidRPr="001B3304">
              <w:rPr>
                <w:noProof/>
                <w:webHidden/>
              </w:rPr>
              <w:fldChar w:fldCharType="end"/>
            </w:r>
          </w:hyperlink>
        </w:p>
        <w:p w14:paraId="262417C4" w14:textId="67600574" w:rsidR="001B3304" w:rsidRPr="001B3304" w:rsidRDefault="001B3304" w:rsidP="00CC73A9">
          <w:pPr>
            <w:pStyle w:val="TOC3"/>
            <w:rPr>
              <w:rFonts w:eastAsiaTheme="minorEastAsia"/>
              <w:noProof/>
              <w:kern w:val="2"/>
              <w:lang w:val="en-CA"/>
              <w14:ligatures w14:val="standardContextual"/>
            </w:rPr>
          </w:pPr>
          <w:hyperlink w:anchor="_Toc134294093" w:history="1">
            <w:r w:rsidRPr="001B3304">
              <w:rPr>
                <w:rStyle w:val="Hyperlink"/>
                <w:rFonts w:ascii="Arial" w:hAnsi="Arial" w:cs="Arial"/>
                <w:noProof/>
                <w:sz w:val="24"/>
                <w:szCs w:val="24"/>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The Lawful Excuse</w:t>
            </w:r>
            <w:r w:rsidRPr="001B3304">
              <w:rPr>
                <w:noProof/>
                <w:webHidden/>
              </w:rPr>
              <w:tab/>
            </w:r>
            <w:r w:rsidRPr="001B3304">
              <w:rPr>
                <w:noProof/>
                <w:webHidden/>
              </w:rPr>
              <w:fldChar w:fldCharType="begin"/>
            </w:r>
            <w:r w:rsidRPr="001B3304">
              <w:rPr>
                <w:noProof/>
                <w:webHidden/>
              </w:rPr>
              <w:instrText xml:space="preserve"> PAGEREF _Toc134294093 \h </w:instrText>
            </w:r>
            <w:r w:rsidRPr="001B3304">
              <w:rPr>
                <w:noProof/>
                <w:webHidden/>
              </w:rPr>
            </w:r>
            <w:r w:rsidRPr="001B3304">
              <w:rPr>
                <w:noProof/>
                <w:webHidden/>
              </w:rPr>
              <w:fldChar w:fldCharType="separate"/>
            </w:r>
            <w:r w:rsidR="00CC73A9">
              <w:rPr>
                <w:noProof/>
                <w:webHidden/>
              </w:rPr>
              <w:t>29</w:t>
            </w:r>
            <w:r w:rsidRPr="001B3304">
              <w:rPr>
                <w:noProof/>
                <w:webHidden/>
              </w:rPr>
              <w:fldChar w:fldCharType="end"/>
            </w:r>
          </w:hyperlink>
        </w:p>
        <w:p w14:paraId="51B07F83" w14:textId="3C9738C0"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94" w:history="1">
            <w:r w:rsidRPr="001B3304">
              <w:rPr>
                <w:rStyle w:val="Hyperlink"/>
                <w:rFonts w:ascii="Arial" w:hAnsi="Arial" w:cs="Arial"/>
                <w:noProof/>
                <w:sz w:val="24"/>
                <w:szCs w:val="24"/>
              </w:rPr>
              <w:t>B.</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Criminal Negligence: s.219</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_Toc134294094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30</w:t>
            </w:r>
            <w:r w:rsidRPr="001B3304">
              <w:rPr>
                <w:rFonts w:ascii="Arial" w:hAnsi="Arial" w:cs="Arial"/>
                <w:noProof/>
                <w:webHidden/>
                <w:sz w:val="24"/>
                <w:szCs w:val="24"/>
              </w:rPr>
              <w:fldChar w:fldCharType="end"/>
            </w:r>
          </w:hyperlink>
        </w:p>
        <w:p w14:paraId="7B189F1A" w14:textId="25A470E4"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95" w:history="1">
            <w:r w:rsidRPr="001B3304">
              <w:rPr>
                <w:rStyle w:val="Hyperlink"/>
                <w:rFonts w:ascii="Arial" w:hAnsi="Arial" w:cs="Arial"/>
                <w:noProof/>
                <w:sz w:val="24"/>
                <w:szCs w:val="24"/>
              </w:rPr>
              <w:t>C.</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Criminal Negligence Causing Death: s.220</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_Toc134294095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30</w:t>
            </w:r>
            <w:r w:rsidRPr="001B3304">
              <w:rPr>
                <w:rFonts w:ascii="Arial" w:hAnsi="Arial" w:cs="Arial"/>
                <w:noProof/>
                <w:webHidden/>
                <w:sz w:val="24"/>
                <w:szCs w:val="24"/>
              </w:rPr>
              <w:fldChar w:fldCharType="end"/>
            </w:r>
          </w:hyperlink>
        </w:p>
        <w:p w14:paraId="7A9C9277" w14:textId="795CE446"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96" w:history="1">
            <w:r w:rsidRPr="001B3304">
              <w:rPr>
                <w:rStyle w:val="Hyperlink"/>
                <w:rFonts w:ascii="Arial" w:hAnsi="Arial" w:cs="Arial"/>
                <w:noProof/>
                <w:sz w:val="24"/>
                <w:szCs w:val="24"/>
              </w:rPr>
              <w:t>D.</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Criminal Negligence Causing Bodily Harm: S. 221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_Toc134294096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31</w:t>
            </w:r>
            <w:r w:rsidRPr="001B3304">
              <w:rPr>
                <w:rFonts w:ascii="Arial" w:hAnsi="Arial" w:cs="Arial"/>
                <w:noProof/>
                <w:webHidden/>
                <w:sz w:val="24"/>
                <w:szCs w:val="24"/>
              </w:rPr>
              <w:fldChar w:fldCharType="end"/>
            </w:r>
          </w:hyperlink>
        </w:p>
        <w:p w14:paraId="63ABE054" w14:textId="699B444E"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97" w:history="1">
            <w:r w:rsidRPr="001B3304">
              <w:rPr>
                <w:rStyle w:val="Hyperlink"/>
                <w:rFonts w:ascii="Arial" w:hAnsi="Arial" w:cs="Arial"/>
                <w:noProof/>
                <w:sz w:val="24"/>
                <w:szCs w:val="24"/>
              </w:rPr>
              <w:t>E.</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Unlawful Act Manslaughter: s.222(5)</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_Toc134294097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31</w:t>
            </w:r>
            <w:r w:rsidRPr="001B3304">
              <w:rPr>
                <w:rFonts w:ascii="Arial" w:hAnsi="Arial" w:cs="Arial"/>
                <w:noProof/>
                <w:webHidden/>
                <w:sz w:val="24"/>
                <w:szCs w:val="24"/>
              </w:rPr>
              <w:fldChar w:fldCharType="end"/>
            </w:r>
          </w:hyperlink>
        </w:p>
        <w:p w14:paraId="53C9F585" w14:textId="6025CF8D"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098" w:history="1">
            <w:r w:rsidRPr="001B3304">
              <w:rPr>
                <w:rStyle w:val="Hyperlink"/>
                <w:rFonts w:ascii="Arial" w:hAnsi="Arial" w:cs="Arial"/>
                <w:noProof/>
                <w:sz w:val="24"/>
                <w:szCs w:val="24"/>
              </w:rPr>
              <w:t>F.</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Second Degree Murder: s.229</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_Toc134294098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33</w:t>
            </w:r>
            <w:r w:rsidRPr="001B3304">
              <w:rPr>
                <w:rFonts w:ascii="Arial" w:hAnsi="Arial" w:cs="Arial"/>
                <w:noProof/>
                <w:webHidden/>
                <w:sz w:val="24"/>
                <w:szCs w:val="24"/>
              </w:rPr>
              <w:fldChar w:fldCharType="end"/>
            </w:r>
          </w:hyperlink>
        </w:p>
        <w:p w14:paraId="05DCC497" w14:textId="5DB8449E" w:rsidR="001B3304" w:rsidRPr="001B3304" w:rsidRDefault="001B3304" w:rsidP="00CC73A9">
          <w:pPr>
            <w:pStyle w:val="TOC3"/>
            <w:rPr>
              <w:rFonts w:eastAsiaTheme="minorEastAsia"/>
              <w:noProof/>
              <w:kern w:val="2"/>
              <w:lang w:val="en-CA"/>
              <w14:ligatures w14:val="standardContextual"/>
            </w:rPr>
          </w:pPr>
          <w:hyperlink w:anchor="_Toc134294099"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Mens Rea under s.229(a)(i)</w:t>
            </w:r>
            <w:r w:rsidRPr="001B3304">
              <w:rPr>
                <w:noProof/>
                <w:webHidden/>
              </w:rPr>
              <w:tab/>
            </w:r>
            <w:r w:rsidRPr="001B3304">
              <w:rPr>
                <w:noProof/>
                <w:webHidden/>
              </w:rPr>
              <w:fldChar w:fldCharType="begin"/>
            </w:r>
            <w:r w:rsidRPr="001B3304">
              <w:rPr>
                <w:noProof/>
                <w:webHidden/>
              </w:rPr>
              <w:instrText xml:space="preserve"> PAGEREF _Toc134294099 \h </w:instrText>
            </w:r>
            <w:r w:rsidRPr="001B3304">
              <w:rPr>
                <w:noProof/>
                <w:webHidden/>
              </w:rPr>
            </w:r>
            <w:r w:rsidRPr="001B3304">
              <w:rPr>
                <w:noProof/>
                <w:webHidden/>
              </w:rPr>
              <w:fldChar w:fldCharType="separate"/>
            </w:r>
            <w:r w:rsidR="00CC73A9">
              <w:rPr>
                <w:noProof/>
                <w:webHidden/>
              </w:rPr>
              <w:t>33</w:t>
            </w:r>
            <w:r w:rsidRPr="001B3304">
              <w:rPr>
                <w:noProof/>
                <w:webHidden/>
              </w:rPr>
              <w:fldChar w:fldCharType="end"/>
            </w:r>
          </w:hyperlink>
        </w:p>
        <w:p w14:paraId="016E7D19" w14:textId="3F85A1FD" w:rsidR="001B3304" w:rsidRPr="001B3304" w:rsidRDefault="001B3304" w:rsidP="00CC73A9">
          <w:pPr>
            <w:pStyle w:val="TOC3"/>
            <w:rPr>
              <w:rFonts w:eastAsiaTheme="minorEastAsia"/>
              <w:noProof/>
              <w:kern w:val="2"/>
              <w:lang w:val="en-CA"/>
              <w14:ligatures w14:val="standardContextual"/>
            </w:rPr>
          </w:pPr>
          <w:hyperlink w:anchor="_Toc134294100"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Mens Rea under s.229(a)(ii)</w:t>
            </w:r>
            <w:r w:rsidRPr="001B3304">
              <w:rPr>
                <w:noProof/>
                <w:webHidden/>
              </w:rPr>
              <w:tab/>
            </w:r>
            <w:r w:rsidRPr="001B3304">
              <w:rPr>
                <w:noProof/>
                <w:webHidden/>
              </w:rPr>
              <w:fldChar w:fldCharType="begin"/>
            </w:r>
            <w:r w:rsidRPr="001B3304">
              <w:rPr>
                <w:noProof/>
                <w:webHidden/>
              </w:rPr>
              <w:instrText xml:space="preserve"> PAGEREF _Toc134294100 \h </w:instrText>
            </w:r>
            <w:r w:rsidRPr="001B3304">
              <w:rPr>
                <w:noProof/>
                <w:webHidden/>
              </w:rPr>
            </w:r>
            <w:r w:rsidRPr="001B3304">
              <w:rPr>
                <w:noProof/>
                <w:webHidden/>
              </w:rPr>
              <w:fldChar w:fldCharType="separate"/>
            </w:r>
            <w:r w:rsidR="00CC73A9">
              <w:rPr>
                <w:noProof/>
                <w:webHidden/>
              </w:rPr>
              <w:t>33</w:t>
            </w:r>
            <w:r w:rsidRPr="001B3304">
              <w:rPr>
                <w:noProof/>
                <w:webHidden/>
              </w:rPr>
              <w:fldChar w:fldCharType="end"/>
            </w:r>
          </w:hyperlink>
        </w:p>
        <w:p w14:paraId="06C1C9F4" w14:textId="2A2CFBB8" w:rsidR="001B3304" w:rsidRPr="001B3304" w:rsidRDefault="001B3304" w:rsidP="00CC73A9">
          <w:pPr>
            <w:pStyle w:val="TOC3"/>
            <w:rPr>
              <w:rFonts w:eastAsiaTheme="minorEastAsia"/>
              <w:noProof/>
              <w:kern w:val="2"/>
              <w:lang w:val="en-CA"/>
              <w14:ligatures w14:val="standardContextual"/>
            </w:rPr>
          </w:pPr>
          <w:hyperlink w:anchor="_Toc134294101" w:history="1">
            <w:r w:rsidRPr="001B3304">
              <w:rPr>
                <w:rStyle w:val="Hyperlink"/>
                <w:rFonts w:ascii="Arial" w:hAnsi="Arial" w:cs="Arial"/>
                <w:noProof/>
                <w:sz w:val="24"/>
                <w:szCs w:val="24"/>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Mens Rea and Rolled Up Instruction Issues</w:t>
            </w:r>
            <w:r w:rsidRPr="001B3304">
              <w:rPr>
                <w:noProof/>
                <w:webHidden/>
              </w:rPr>
              <w:tab/>
            </w:r>
            <w:r w:rsidRPr="001B3304">
              <w:rPr>
                <w:noProof/>
                <w:webHidden/>
              </w:rPr>
              <w:fldChar w:fldCharType="begin"/>
            </w:r>
            <w:r w:rsidRPr="001B3304">
              <w:rPr>
                <w:noProof/>
                <w:webHidden/>
              </w:rPr>
              <w:instrText xml:space="preserve"> PAGEREF _Toc134294101 \h </w:instrText>
            </w:r>
            <w:r w:rsidRPr="001B3304">
              <w:rPr>
                <w:noProof/>
                <w:webHidden/>
              </w:rPr>
            </w:r>
            <w:r w:rsidRPr="001B3304">
              <w:rPr>
                <w:noProof/>
                <w:webHidden/>
              </w:rPr>
              <w:fldChar w:fldCharType="separate"/>
            </w:r>
            <w:r w:rsidR="00CC73A9">
              <w:rPr>
                <w:noProof/>
                <w:webHidden/>
              </w:rPr>
              <w:t>34</w:t>
            </w:r>
            <w:r w:rsidRPr="001B3304">
              <w:rPr>
                <w:noProof/>
                <w:webHidden/>
              </w:rPr>
              <w:fldChar w:fldCharType="end"/>
            </w:r>
          </w:hyperlink>
        </w:p>
        <w:p w14:paraId="536D4D03" w14:textId="0D11A1B2" w:rsidR="001B3304" w:rsidRPr="001B3304" w:rsidRDefault="001B3304" w:rsidP="00CC73A9">
          <w:pPr>
            <w:pStyle w:val="TOC3"/>
            <w:rPr>
              <w:rFonts w:eastAsiaTheme="minorEastAsia"/>
              <w:noProof/>
              <w:kern w:val="2"/>
              <w:lang w:val="en-CA"/>
              <w14:ligatures w14:val="standardContextual"/>
            </w:rPr>
          </w:pPr>
          <w:hyperlink w:anchor="_Toc134294102" w:history="1">
            <w:r w:rsidRPr="001B3304">
              <w:rPr>
                <w:rStyle w:val="Hyperlink"/>
                <w:rFonts w:ascii="Arial" w:hAnsi="Arial" w:cs="Arial"/>
                <w:noProof/>
                <w:sz w:val="24"/>
                <w:szCs w:val="24"/>
              </w:rPr>
              <w:t>iv.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Causation</w:t>
            </w:r>
            <w:r w:rsidRPr="001B3304">
              <w:rPr>
                <w:noProof/>
                <w:webHidden/>
              </w:rPr>
              <w:tab/>
            </w:r>
            <w:r w:rsidRPr="001B3304">
              <w:rPr>
                <w:noProof/>
                <w:webHidden/>
              </w:rPr>
              <w:fldChar w:fldCharType="begin"/>
            </w:r>
            <w:r w:rsidRPr="001B3304">
              <w:rPr>
                <w:noProof/>
                <w:webHidden/>
              </w:rPr>
              <w:instrText xml:space="preserve"> PAGEREF _Toc134294102 \h </w:instrText>
            </w:r>
            <w:r w:rsidRPr="001B3304">
              <w:rPr>
                <w:noProof/>
                <w:webHidden/>
              </w:rPr>
            </w:r>
            <w:r w:rsidRPr="001B3304">
              <w:rPr>
                <w:noProof/>
                <w:webHidden/>
              </w:rPr>
              <w:fldChar w:fldCharType="separate"/>
            </w:r>
            <w:r w:rsidR="00CC73A9">
              <w:rPr>
                <w:noProof/>
                <w:webHidden/>
              </w:rPr>
              <w:t>35</w:t>
            </w:r>
            <w:r w:rsidRPr="001B3304">
              <w:rPr>
                <w:noProof/>
                <w:webHidden/>
              </w:rPr>
              <w:fldChar w:fldCharType="end"/>
            </w:r>
          </w:hyperlink>
        </w:p>
        <w:p w14:paraId="23305A59" w14:textId="34E7702D" w:rsidR="001B3304" w:rsidRPr="001B3304" w:rsidRDefault="001B3304" w:rsidP="00CC73A9">
          <w:pPr>
            <w:pStyle w:val="TOC3"/>
            <w:rPr>
              <w:rFonts w:eastAsiaTheme="minorEastAsia"/>
              <w:noProof/>
              <w:kern w:val="2"/>
              <w:lang w:val="en-CA"/>
              <w14:ligatures w14:val="standardContextual"/>
            </w:rPr>
          </w:pPr>
          <w:hyperlink w:anchor="_Toc134294103" w:history="1">
            <w:r w:rsidRPr="001B3304">
              <w:rPr>
                <w:rStyle w:val="Hyperlink"/>
                <w:rFonts w:ascii="Arial" w:hAnsi="Arial" w:cs="Arial"/>
                <w:noProof/>
                <w:sz w:val="24"/>
                <w:szCs w:val="24"/>
              </w:rPr>
              <w:t>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Party Liability</w:t>
            </w:r>
            <w:r w:rsidRPr="001B3304">
              <w:rPr>
                <w:noProof/>
                <w:webHidden/>
              </w:rPr>
              <w:tab/>
            </w:r>
            <w:r w:rsidRPr="001B3304">
              <w:rPr>
                <w:noProof/>
                <w:webHidden/>
              </w:rPr>
              <w:fldChar w:fldCharType="begin"/>
            </w:r>
            <w:r w:rsidRPr="001B3304">
              <w:rPr>
                <w:noProof/>
                <w:webHidden/>
              </w:rPr>
              <w:instrText xml:space="preserve"> PAGEREF _Toc134294103 \h </w:instrText>
            </w:r>
            <w:r w:rsidRPr="001B3304">
              <w:rPr>
                <w:noProof/>
                <w:webHidden/>
              </w:rPr>
            </w:r>
            <w:r w:rsidRPr="001B3304">
              <w:rPr>
                <w:noProof/>
                <w:webHidden/>
              </w:rPr>
              <w:fldChar w:fldCharType="separate"/>
            </w:r>
            <w:r w:rsidR="00CC73A9">
              <w:rPr>
                <w:noProof/>
                <w:webHidden/>
              </w:rPr>
              <w:t>35</w:t>
            </w:r>
            <w:r w:rsidRPr="001B3304">
              <w:rPr>
                <w:noProof/>
                <w:webHidden/>
              </w:rPr>
              <w:fldChar w:fldCharType="end"/>
            </w:r>
          </w:hyperlink>
        </w:p>
        <w:p w14:paraId="1106D9DB" w14:textId="4F0CC36C"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04" w:history="1">
            <w:r w:rsidRPr="001B3304">
              <w:rPr>
                <w:rStyle w:val="Hyperlink"/>
                <w:rFonts w:ascii="Arial" w:hAnsi="Arial" w:cs="Arial"/>
                <w:noProof/>
                <w:sz w:val="24"/>
                <w:szCs w:val="24"/>
              </w:rPr>
              <w:t>G.</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First degree murder: s.231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_Toc134294104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36</w:t>
            </w:r>
            <w:r w:rsidRPr="001B3304">
              <w:rPr>
                <w:rFonts w:ascii="Arial" w:hAnsi="Arial" w:cs="Arial"/>
                <w:noProof/>
                <w:webHidden/>
                <w:sz w:val="24"/>
                <w:szCs w:val="24"/>
              </w:rPr>
              <w:fldChar w:fldCharType="end"/>
            </w:r>
          </w:hyperlink>
        </w:p>
        <w:p w14:paraId="4EE07203" w14:textId="3EFC3E6B" w:rsidR="001B3304" w:rsidRPr="001B3304" w:rsidRDefault="001B3304" w:rsidP="00CC73A9">
          <w:pPr>
            <w:pStyle w:val="TOC3"/>
            <w:rPr>
              <w:rFonts w:eastAsiaTheme="minorEastAsia"/>
              <w:noProof/>
              <w:kern w:val="2"/>
              <w:lang w:val="en-CA"/>
              <w14:ligatures w14:val="standardContextual"/>
            </w:rPr>
          </w:pPr>
          <w:hyperlink w:anchor="_Toc134294105"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Planned and Deliberate Murder: s.231(2)</w:t>
            </w:r>
            <w:r w:rsidRPr="001B3304">
              <w:rPr>
                <w:noProof/>
                <w:webHidden/>
              </w:rPr>
              <w:tab/>
            </w:r>
            <w:r w:rsidRPr="001B3304">
              <w:rPr>
                <w:noProof/>
                <w:webHidden/>
              </w:rPr>
              <w:fldChar w:fldCharType="begin"/>
            </w:r>
            <w:r w:rsidRPr="001B3304">
              <w:rPr>
                <w:noProof/>
                <w:webHidden/>
              </w:rPr>
              <w:instrText xml:space="preserve"> PAGEREF _Toc134294105 \h </w:instrText>
            </w:r>
            <w:r w:rsidRPr="001B3304">
              <w:rPr>
                <w:noProof/>
                <w:webHidden/>
              </w:rPr>
            </w:r>
            <w:r w:rsidRPr="001B3304">
              <w:rPr>
                <w:noProof/>
                <w:webHidden/>
              </w:rPr>
              <w:fldChar w:fldCharType="separate"/>
            </w:r>
            <w:r w:rsidR="00CC73A9">
              <w:rPr>
                <w:noProof/>
                <w:webHidden/>
              </w:rPr>
              <w:t>36</w:t>
            </w:r>
            <w:r w:rsidRPr="001B3304">
              <w:rPr>
                <w:noProof/>
                <w:webHidden/>
              </w:rPr>
              <w:fldChar w:fldCharType="end"/>
            </w:r>
          </w:hyperlink>
        </w:p>
        <w:p w14:paraId="1382B38F" w14:textId="2D63E708" w:rsidR="001B3304" w:rsidRPr="001B3304" w:rsidRDefault="001B3304" w:rsidP="00CC73A9">
          <w:pPr>
            <w:pStyle w:val="TOC3"/>
            <w:rPr>
              <w:rFonts w:eastAsiaTheme="minorEastAsia"/>
              <w:noProof/>
              <w:kern w:val="2"/>
              <w:lang w:val="en-CA"/>
              <w14:ligatures w14:val="standardContextual"/>
            </w:rPr>
          </w:pPr>
          <w:hyperlink w:anchor="_Toc134294106"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Constructive First Degree Murder: s.231(4) – (6.2)</w:t>
            </w:r>
            <w:r w:rsidRPr="001B3304">
              <w:rPr>
                <w:noProof/>
                <w:webHidden/>
              </w:rPr>
              <w:tab/>
            </w:r>
            <w:r w:rsidRPr="001B3304">
              <w:rPr>
                <w:noProof/>
                <w:webHidden/>
              </w:rPr>
              <w:fldChar w:fldCharType="begin"/>
            </w:r>
            <w:r w:rsidRPr="001B3304">
              <w:rPr>
                <w:noProof/>
                <w:webHidden/>
              </w:rPr>
              <w:instrText xml:space="preserve"> PAGEREF _Toc134294106 \h </w:instrText>
            </w:r>
            <w:r w:rsidRPr="001B3304">
              <w:rPr>
                <w:noProof/>
                <w:webHidden/>
              </w:rPr>
            </w:r>
            <w:r w:rsidRPr="001B3304">
              <w:rPr>
                <w:noProof/>
                <w:webHidden/>
              </w:rPr>
              <w:fldChar w:fldCharType="separate"/>
            </w:r>
            <w:r w:rsidR="00CC73A9">
              <w:rPr>
                <w:noProof/>
                <w:webHidden/>
              </w:rPr>
              <w:t>37</w:t>
            </w:r>
            <w:r w:rsidRPr="001B3304">
              <w:rPr>
                <w:noProof/>
                <w:webHidden/>
              </w:rPr>
              <w:fldChar w:fldCharType="end"/>
            </w:r>
          </w:hyperlink>
        </w:p>
        <w:p w14:paraId="182F3FF5" w14:textId="4312AB8B"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07" w:history="1">
            <w:r w:rsidRPr="001B3304">
              <w:rPr>
                <w:rStyle w:val="Hyperlink"/>
                <w:rFonts w:ascii="Arial" w:hAnsi="Arial" w:cs="Arial"/>
                <w:noProof/>
                <w:sz w:val="24"/>
                <w:szCs w:val="24"/>
              </w:rPr>
              <w:t>H.</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Party liability in murder</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_Toc134294107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42</w:t>
            </w:r>
            <w:r w:rsidRPr="001B3304">
              <w:rPr>
                <w:rFonts w:ascii="Arial" w:hAnsi="Arial" w:cs="Arial"/>
                <w:noProof/>
                <w:webHidden/>
                <w:sz w:val="24"/>
                <w:szCs w:val="24"/>
              </w:rPr>
              <w:fldChar w:fldCharType="end"/>
            </w:r>
          </w:hyperlink>
        </w:p>
        <w:p w14:paraId="67B546A9" w14:textId="7A8D4AE1" w:rsidR="001B3304" w:rsidRPr="001B3304" w:rsidRDefault="001B3304" w:rsidP="00CC73A9">
          <w:pPr>
            <w:pStyle w:val="TOC3"/>
            <w:rPr>
              <w:rFonts w:eastAsiaTheme="minorEastAsia"/>
              <w:noProof/>
              <w:kern w:val="2"/>
              <w:lang w:val="en-CA"/>
              <w14:ligatures w14:val="standardContextual"/>
            </w:rPr>
          </w:pPr>
          <w:hyperlink w:anchor="_Toc134294108"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Co-Principals to Murder</w:t>
            </w:r>
            <w:r w:rsidRPr="001B3304">
              <w:rPr>
                <w:noProof/>
                <w:webHidden/>
              </w:rPr>
              <w:tab/>
            </w:r>
            <w:r w:rsidRPr="001B3304">
              <w:rPr>
                <w:noProof/>
                <w:webHidden/>
              </w:rPr>
              <w:fldChar w:fldCharType="begin"/>
            </w:r>
            <w:r w:rsidRPr="001B3304">
              <w:rPr>
                <w:noProof/>
                <w:webHidden/>
              </w:rPr>
              <w:instrText xml:space="preserve"> PAGEREF _Toc134294108 \h </w:instrText>
            </w:r>
            <w:r w:rsidRPr="001B3304">
              <w:rPr>
                <w:noProof/>
                <w:webHidden/>
              </w:rPr>
            </w:r>
            <w:r w:rsidRPr="001B3304">
              <w:rPr>
                <w:noProof/>
                <w:webHidden/>
              </w:rPr>
              <w:fldChar w:fldCharType="separate"/>
            </w:r>
            <w:r w:rsidR="00CC73A9">
              <w:rPr>
                <w:noProof/>
                <w:webHidden/>
              </w:rPr>
              <w:t>42</w:t>
            </w:r>
            <w:r w:rsidRPr="001B3304">
              <w:rPr>
                <w:noProof/>
                <w:webHidden/>
              </w:rPr>
              <w:fldChar w:fldCharType="end"/>
            </w:r>
          </w:hyperlink>
        </w:p>
        <w:p w14:paraId="3064A520" w14:textId="292F40F0" w:rsidR="001B3304" w:rsidRPr="001B3304" w:rsidRDefault="001B3304" w:rsidP="00CC73A9">
          <w:pPr>
            <w:pStyle w:val="TOC3"/>
            <w:rPr>
              <w:rFonts w:eastAsiaTheme="minorEastAsia"/>
              <w:noProof/>
              <w:kern w:val="2"/>
              <w:lang w:val="en-CA"/>
              <w14:ligatures w14:val="standardContextual"/>
            </w:rPr>
          </w:pPr>
          <w:hyperlink w:anchor="_Toc134294109"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Aiding and Abetting a Murder</w:t>
            </w:r>
            <w:r w:rsidRPr="001B3304">
              <w:rPr>
                <w:noProof/>
                <w:webHidden/>
              </w:rPr>
              <w:tab/>
            </w:r>
            <w:r w:rsidRPr="001B3304">
              <w:rPr>
                <w:noProof/>
                <w:webHidden/>
              </w:rPr>
              <w:fldChar w:fldCharType="begin"/>
            </w:r>
            <w:r w:rsidRPr="001B3304">
              <w:rPr>
                <w:noProof/>
                <w:webHidden/>
              </w:rPr>
              <w:instrText xml:space="preserve"> PAGEREF _Toc134294109 \h </w:instrText>
            </w:r>
            <w:r w:rsidRPr="001B3304">
              <w:rPr>
                <w:noProof/>
                <w:webHidden/>
              </w:rPr>
            </w:r>
            <w:r w:rsidRPr="001B3304">
              <w:rPr>
                <w:noProof/>
                <w:webHidden/>
              </w:rPr>
              <w:fldChar w:fldCharType="separate"/>
            </w:r>
            <w:r w:rsidR="00CC73A9">
              <w:rPr>
                <w:noProof/>
                <w:webHidden/>
              </w:rPr>
              <w:t>42</w:t>
            </w:r>
            <w:r w:rsidRPr="001B3304">
              <w:rPr>
                <w:noProof/>
                <w:webHidden/>
              </w:rPr>
              <w:fldChar w:fldCharType="end"/>
            </w:r>
          </w:hyperlink>
        </w:p>
        <w:p w14:paraId="201F8D66" w14:textId="2F941479" w:rsidR="001B3304" w:rsidRPr="001B3304" w:rsidRDefault="001B3304" w:rsidP="00CC73A9">
          <w:pPr>
            <w:pStyle w:val="TOC3"/>
            <w:rPr>
              <w:rFonts w:eastAsiaTheme="minorEastAsia"/>
              <w:noProof/>
              <w:kern w:val="2"/>
              <w:lang w:val="en-CA"/>
              <w14:ligatures w14:val="standardContextual"/>
            </w:rPr>
          </w:pPr>
          <w:hyperlink w:anchor="_Toc134294110" w:history="1">
            <w:r w:rsidRPr="001B3304">
              <w:rPr>
                <w:rStyle w:val="Hyperlink"/>
                <w:rFonts w:ascii="Arial" w:hAnsi="Arial" w:cs="Arial"/>
                <w:noProof/>
                <w:sz w:val="24"/>
                <w:szCs w:val="24"/>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Aiding and Abetting a First Degree Murder</w:t>
            </w:r>
            <w:r w:rsidRPr="001B3304">
              <w:rPr>
                <w:noProof/>
                <w:webHidden/>
              </w:rPr>
              <w:tab/>
            </w:r>
            <w:r w:rsidRPr="001B3304">
              <w:rPr>
                <w:noProof/>
                <w:webHidden/>
              </w:rPr>
              <w:fldChar w:fldCharType="begin"/>
            </w:r>
            <w:r w:rsidRPr="001B3304">
              <w:rPr>
                <w:noProof/>
                <w:webHidden/>
              </w:rPr>
              <w:instrText xml:space="preserve"> PAGEREF _Toc134294110 \h </w:instrText>
            </w:r>
            <w:r w:rsidRPr="001B3304">
              <w:rPr>
                <w:noProof/>
                <w:webHidden/>
              </w:rPr>
            </w:r>
            <w:r w:rsidRPr="001B3304">
              <w:rPr>
                <w:noProof/>
                <w:webHidden/>
              </w:rPr>
              <w:fldChar w:fldCharType="separate"/>
            </w:r>
            <w:r w:rsidR="00CC73A9">
              <w:rPr>
                <w:noProof/>
                <w:webHidden/>
              </w:rPr>
              <w:t>42</w:t>
            </w:r>
            <w:r w:rsidRPr="001B3304">
              <w:rPr>
                <w:noProof/>
                <w:webHidden/>
              </w:rPr>
              <w:fldChar w:fldCharType="end"/>
            </w:r>
          </w:hyperlink>
        </w:p>
        <w:p w14:paraId="7580548C" w14:textId="246F180E" w:rsidR="001B3304" w:rsidRPr="001B3304" w:rsidRDefault="001B3304" w:rsidP="00CC73A9">
          <w:pPr>
            <w:pStyle w:val="TOC3"/>
            <w:rPr>
              <w:rFonts w:eastAsiaTheme="minorEastAsia"/>
              <w:noProof/>
              <w:kern w:val="2"/>
              <w:lang w:val="en-CA"/>
              <w14:ligatures w14:val="standardContextual"/>
            </w:rPr>
          </w:pPr>
          <w:hyperlink w:anchor="_Toc134294111" w:history="1">
            <w:r w:rsidRPr="001B3304">
              <w:rPr>
                <w:rStyle w:val="Hyperlink"/>
                <w:rFonts w:ascii="Arial" w:hAnsi="Arial" w:cs="Arial"/>
                <w:noProof/>
                <w:sz w:val="24"/>
                <w:szCs w:val="24"/>
              </w:rPr>
              <w:t>iv.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Common Intention Murder</w:t>
            </w:r>
            <w:r w:rsidRPr="001B3304">
              <w:rPr>
                <w:noProof/>
                <w:webHidden/>
              </w:rPr>
              <w:tab/>
            </w:r>
            <w:r w:rsidRPr="001B3304">
              <w:rPr>
                <w:noProof/>
                <w:webHidden/>
              </w:rPr>
              <w:fldChar w:fldCharType="begin"/>
            </w:r>
            <w:r w:rsidRPr="001B3304">
              <w:rPr>
                <w:noProof/>
                <w:webHidden/>
              </w:rPr>
              <w:instrText xml:space="preserve"> PAGEREF _Toc134294111 \h </w:instrText>
            </w:r>
            <w:r w:rsidRPr="001B3304">
              <w:rPr>
                <w:noProof/>
                <w:webHidden/>
              </w:rPr>
            </w:r>
            <w:r w:rsidRPr="001B3304">
              <w:rPr>
                <w:noProof/>
                <w:webHidden/>
              </w:rPr>
              <w:fldChar w:fldCharType="separate"/>
            </w:r>
            <w:r w:rsidR="00CC73A9">
              <w:rPr>
                <w:noProof/>
                <w:webHidden/>
              </w:rPr>
              <w:t>43</w:t>
            </w:r>
            <w:r w:rsidRPr="001B3304">
              <w:rPr>
                <w:noProof/>
                <w:webHidden/>
              </w:rPr>
              <w:fldChar w:fldCharType="end"/>
            </w:r>
          </w:hyperlink>
        </w:p>
        <w:p w14:paraId="57387E89" w14:textId="2F007D55"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12" w:history="1">
            <w:r w:rsidRPr="001B3304">
              <w:rPr>
                <w:rStyle w:val="Hyperlink"/>
                <w:rFonts w:ascii="Arial" w:hAnsi="Arial" w:cs="Arial"/>
                <w:noProof/>
                <w:sz w:val="24"/>
                <w:szCs w:val="24"/>
              </w:rPr>
              <w:t>I.</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Manslaughter: S.234</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_Toc134294112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43</w:t>
            </w:r>
            <w:r w:rsidRPr="001B3304">
              <w:rPr>
                <w:rFonts w:ascii="Arial" w:hAnsi="Arial" w:cs="Arial"/>
                <w:noProof/>
                <w:webHidden/>
                <w:sz w:val="24"/>
                <w:szCs w:val="24"/>
              </w:rPr>
              <w:fldChar w:fldCharType="end"/>
            </w:r>
          </w:hyperlink>
        </w:p>
        <w:p w14:paraId="2D5B3B64" w14:textId="44214183" w:rsidR="001B3304" w:rsidRPr="001B3304" w:rsidRDefault="001B3304" w:rsidP="00CC73A9">
          <w:pPr>
            <w:pStyle w:val="TOC3"/>
            <w:rPr>
              <w:rFonts w:eastAsiaTheme="minorEastAsia"/>
              <w:noProof/>
              <w:kern w:val="2"/>
              <w:lang w:val="en-CA"/>
              <w14:ligatures w14:val="standardContextual"/>
            </w:rPr>
          </w:pPr>
          <w:hyperlink w:anchor="_Toc134294113"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Party Liability for Manslaughter</w:t>
            </w:r>
            <w:r w:rsidRPr="001B3304">
              <w:rPr>
                <w:noProof/>
                <w:webHidden/>
              </w:rPr>
              <w:tab/>
            </w:r>
            <w:r w:rsidRPr="001B3304">
              <w:rPr>
                <w:noProof/>
                <w:webHidden/>
              </w:rPr>
              <w:fldChar w:fldCharType="begin"/>
            </w:r>
            <w:r w:rsidRPr="001B3304">
              <w:rPr>
                <w:noProof/>
                <w:webHidden/>
              </w:rPr>
              <w:instrText xml:space="preserve"> PAGEREF _Toc134294113 \h </w:instrText>
            </w:r>
            <w:r w:rsidRPr="001B3304">
              <w:rPr>
                <w:noProof/>
                <w:webHidden/>
              </w:rPr>
            </w:r>
            <w:r w:rsidRPr="001B3304">
              <w:rPr>
                <w:noProof/>
                <w:webHidden/>
              </w:rPr>
              <w:fldChar w:fldCharType="separate"/>
            </w:r>
            <w:r w:rsidR="00CC73A9">
              <w:rPr>
                <w:noProof/>
                <w:webHidden/>
              </w:rPr>
              <w:t>44</w:t>
            </w:r>
            <w:r w:rsidRPr="001B3304">
              <w:rPr>
                <w:noProof/>
                <w:webHidden/>
              </w:rPr>
              <w:fldChar w:fldCharType="end"/>
            </w:r>
          </w:hyperlink>
        </w:p>
        <w:p w14:paraId="20023B34" w14:textId="4FDB0170"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14" w:history="1">
            <w:r w:rsidRPr="001B3304">
              <w:rPr>
                <w:rStyle w:val="Hyperlink"/>
                <w:rFonts w:ascii="Arial" w:hAnsi="Arial" w:cs="Arial"/>
                <w:noProof/>
                <w:sz w:val="24"/>
                <w:szCs w:val="24"/>
              </w:rPr>
              <w:t>J.</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Attempt Murder</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_Toc134294114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44</w:t>
            </w:r>
            <w:r w:rsidRPr="001B3304">
              <w:rPr>
                <w:rFonts w:ascii="Arial" w:hAnsi="Arial" w:cs="Arial"/>
                <w:noProof/>
                <w:webHidden/>
                <w:sz w:val="24"/>
                <w:szCs w:val="24"/>
              </w:rPr>
              <w:fldChar w:fldCharType="end"/>
            </w:r>
          </w:hyperlink>
        </w:p>
        <w:p w14:paraId="10A6057F" w14:textId="7D1D4A27"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15" w:history="1">
            <w:r w:rsidRPr="001B3304">
              <w:rPr>
                <w:rStyle w:val="Hyperlink"/>
                <w:rFonts w:ascii="Arial" w:hAnsi="Arial" w:cs="Arial"/>
                <w:noProof/>
                <w:sz w:val="24"/>
                <w:szCs w:val="24"/>
              </w:rPr>
              <w:t>K.</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Criminal Harassment: s.264(1)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_Toc134294115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45</w:t>
            </w:r>
            <w:r w:rsidRPr="001B3304">
              <w:rPr>
                <w:rFonts w:ascii="Arial" w:hAnsi="Arial" w:cs="Arial"/>
                <w:noProof/>
                <w:webHidden/>
                <w:sz w:val="24"/>
                <w:szCs w:val="24"/>
              </w:rPr>
              <w:fldChar w:fldCharType="end"/>
            </w:r>
          </w:hyperlink>
        </w:p>
        <w:p w14:paraId="4C2D972D" w14:textId="4B0429F5"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16" w:history="1">
            <w:r w:rsidRPr="001B3304">
              <w:rPr>
                <w:rStyle w:val="Hyperlink"/>
                <w:rFonts w:ascii="Arial" w:hAnsi="Arial" w:cs="Arial"/>
                <w:noProof/>
                <w:sz w:val="24"/>
                <w:szCs w:val="24"/>
              </w:rPr>
              <w:t>L.</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Assault: s.265(1)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_Toc134294116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46</w:t>
            </w:r>
            <w:r w:rsidRPr="001B3304">
              <w:rPr>
                <w:rFonts w:ascii="Arial" w:hAnsi="Arial" w:cs="Arial"/>
                <w:noProof/>
                <w:webHidden/>
                <w:sz w:val="24"/>
                <w:szCs w:val="24"/>
              </w:rPr>
              <w:fldChar w:fldCharType="end"/>
            </w:r>
          </w:hyperlink>
        </w:p>
        <w:p w14:paraId="0C0D827A" w14:textId="6548E5F6" w:rsidR="001B3304" w:rsidRPr="001B3304" w:rsidRDefault="001B3304" w:rsidP="00CC73A9">
          <w:pPr>
            <w:pStyle w:val="TOC3"/>
            <w:rPr>
              <w:rFonts w:eastAsiaTheme="minorEastAsia"/>
              <w:noProof/>
              <w:kern w:val="2"/>
              <w:lang w:val="en-CA"/>
              <w14:ligatures w14:val="standardContextual"/>
            </w:rPr>
          </w:pPr>
          <w:hyperlink w:anchor="_Toc134294117" w:history="1">
            <w:r w:rsidRPr="001B3304">
              <w:rPr>
                <w:rStyle w:val="Hyperlink"/>
                <w:rFonts w:ascii="Arial" w:hAnsi="Arial" w:cs="Arial"/>
                <w:noProof/>
                <w:sz w:val="24"/>
                <w:szCs w:val="24"/>
                <w14:scene3d>
                  <w14:camera w14:prst="orthographicFront"/>
                  <w14:lightRig w14:rig="threePt" w14:dir="t">
                    <w14:rot w14:lat="0" w14:lon="0" w14:rev="0"/>
                  </w14:lightRig>
                </w14:scene3d>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Defence of Consent</w:t>
            </w:r>
            <w:r w:rsidRPr="001B3304">
              <w:rPr>
                <w:noProof/>
                <w:webHidden/>
              </w:rPr>
              <w:tab/>
            </w:r>
            <w:r w:rsidRPr="001B3304">
              <w:rPr>
                <w:noProof/>
                <w:webHidden/>
              </w:rPr>
              <w:fldChar w:fldCharType="begin"/>
            </w:r>
            <w:r w:rsidRPr="001B3304">
              <w:rPr>
                <w:noProof/>
                <w:webHidden/>
              </w:rPr>
              <w:instrText xml:space="preserve"> PAGEREF _Toc134294117 \h </w:instrText>
            </w:r>
            <w:r w:rsidRPr="001B3304">
              <w:rPr>
                <w:noProof/>
                <w:webHidden/>
              </w:rPr>
            </w:r>
            <w:r w:rsidRPr="001B3304">
              <w:rPr>
                <w:noProof/>
                <w:webHidden/>
              </w:rPr>
              <w:fldChar w:fldCharType="separate"/>
            </w:r>
            <w:r w:rsidR="00CC73A9">
              <w:rPr>
                <w:noProof/>
                <w:webHidden/>
              </w:rPr>
              <w:t>46</w:t>
            </w:r>
            <w:r w:rsidRPr="001B3304">
              <w:rPr>
                <w:noProof/>
                <w:webHidden/>
              </w:rPr>
              <w:fldChar w:fldCharType="end"/>
            </w:r>
          </w:hyperlink>
        </w:p>
        <w:p w14:paraId="7D532FB9" w14:textId="113EB80C" w:rsidR="001B3304" w:rsidRPr="001B3304" w:rsidRDefault="001B3304" w:rsidP="00CC73A9">
          <w:pPr>
            <w:pStyle w:val="TOC3"/>
            <w:rPr>
              <w:rFonts w:eastAsiaTheme="minorEastAsia"/>
              <w:noProof/>
              <w:kern w:val="2"/>
              <w:lang w:val="en-CA"/>
              <w14:ligatures w14:val="standardContextual"/>
            </w:rPr>
          </w:pPr>
          <w:hyperlink w:anchor="_Toc134294118" w:history="1">
            <w:r w:rsidRPr="001B3304">
              <w:rPr>
                <w:rStyle w:val="Hyperlink"/>
                <w:rFonts w:ascii="Arial" w:hAnsi="Arial" w:cs="Arial"/>
                <w:noProof/>
                <w:sz w:val="24"/>
                <w:szCs w:val="24"/>
                <w14:scene3d>
                  <w14:camera w14:prst="orthographicFront"/>
                  <w14:lightRig w14:rig="threePt" w14:dir="t">
                    <w14:rot w14:lat="0" w14:lon="0" w14:rev="0"/>
                  </w14:lightRig>
                </w14:scene3d>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Defence of exercise of authority</w:t>
            </w:r>
            <w:r w:rsidRPr="001B3304">
              <w:rPr>
                <w:noProof/>
                <w:webHidden/>
              </w:rPr>
              <w:tab/>
            </w:r>
            <w:r w:rsidRPr="001B3304">
              <w:rPr>
                <w:noProof/>
                <w:webHidden/>
              </w:rPr>
              <w:fldChar w:fldCharType="begin"/>
            </w:r>
            <w:r w:rsidRPr="001B3304">
              <w:rPr>
                <w:noProof/>
                <w:webHidden/>
              </w:rPr>
              <w:instrText xml:space="preserve"> PAGEREF _Toc134294118 \h </w:instrText>
            </w:r>
            <w:r w:rsidRPr="001B3304">
              <w:rPr>
                <w:noProof/>
                <w:webHidden/>
              </w:rPr>
            </w:r>
            <w:r w:rsidRPr="001B3304">
              <w:rPr>
                <w:noProof/>
                <w:webHidden/>
              </w:rPr>
              <w:fldChar w:fldCharType="separate"/>
            </w:r>
            <w:r w:rsidR="00CC73A9">
              <w:rPr>
                <w:noProof/>
                <w:webHidden/>
              </w:rPr>
              <w:t>47</w:t>
            </w:r>
            <w:r w:rsidRPr="001B3304">
              <w:rPr>
                <w:noProof/>
                <w:webHidden/>
              </w:rPr>
              <w:fldChar w:fldCharType="end"/>
            </w:r>
          </w:hyperlink>
        </w:p>
        <w:p w14:paraId="7B5ACF41" w14:textId="3821EA3D"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19" w:history="1">
            <w:r w:rsidRPr="001B3304">
              <w:rPr>
                <w:rStyle w:val="Hyperlink"/>
                <w:rFonts w:ascii="Arial" w:hAnsi="Arial" w:cs="Arial"/>
                <w:noProof/>
                <w:sz w:val="24"/>
                <w:szCs w:val="24"/>
              </w:rPr>
              <w:t>M.</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Assault Causing Bodily Harm: S.267(B)</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_Toc134294119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47</w:t>
            </w:r>
            <w:r w:rsidRPr="001B3304">
              <w:rPr>
                <w:rFonts w:ascii="Arial" w:hAnsi="Arial" w:cs="Arial"/>
                <w:noProof/>
                <w:webHidden/>
                <w:sz w:val="24"/>
                <w:szCs w:val="24"/>
              </w:rPr>
              <w:fldChar w:fldCharType="end"/>
            </w:r>
          </w:hyperlink>
        </w:p>
        <w:p w14:paraId="65CDE4FA" w14:textId="69740269"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20" w:history="1">
            <w:r w:rsidRPr="001B3304">
              <w:rPr>
                <w:rStyle w:val="Hyperlink"/>
                <w:rFonts w:ascii="Arial" w:hAnsi="Arial" w:cs="Arial"/>
                <w:noProof/>
                <w:sz w:val="24"/>
                <w:szCs w:val="24"/>
              </w:rPr>
              <w:t>N.</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Assault with a Weapon: s.267(a)</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_Toc134294120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48</w:t>
            </w:r>
            <w:r w:rsidRPr="001B3304">
              <w:rPr>
                <w:rFonts w:ascii="Arial" w:hAnsi="Arial" w:cs="Arial"/>
                <w:noProof/>
                <w:webHidden/>
                <w:sz w:val="24"/>
                <w:szCs w:val="24"/>
              </w:rPr>
              <w:fldChar w:fldCharType="end"/>
            </w:r>
          </w:hyperlink>
        </w:p>
        <w:p w14:paraId="26D6281C" w14:textId="240E3387"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21" w:history="1">
            <w:r w:rsidRPr="001B3304">
              <w:rPr>
                <w:rStyle w:val="Hyperlink"/>
                <w:rFonts w:ascii="Arial" w:hAnsi="Arial" w:cs="Arial"/>
                <w:noProof/>
                <w:sz w:val="24"/>
                <w:szCs w:val="24"/>
              </w:rPr>
              <w:t>O.</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Aggravated Assault, S. 268</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_Toc134294121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48</w:t>
            </w:r>
            <w:r w:rsidRPr="001B3304">
              <w:rPr>
                <w:rFonts w:ascii="Arial" w:hAnsi="Arial" w:cs="Arial"/>
                <w:noProof/>
                <w:webHidden/>
                <w:sz w:val="24"/>
                <w:szCs w:val="24"/>
              </w:rPr>
              <w:fldChar w:fldCharType="end"/>
            </w:r>
          </w:hyperlink>
        </w:p>
        <w:p w14:paraId="00CD731F" w14:textId="35D2CBF7" w:rsidR="001B3304" w:rsidRPr="001B3304" w:rsidRDefault="001B3304" w:rsidP="00CC73A9">
          <w:pPr>
            <w:pStyle w:val="TOC3"/>
            <w:rPr>
              <w:rFonts w:eastAsiaTheme="minorEastAsia"/>
              <w:noProof/>
              <w:kern w:val="2"/>
              <w:lang w:val="en-CA"/>
              <w14:ligatures w14:val="standardContextual"/>
            </w:rPr>
          </w:pPr>
          <w:hyperlink w:anchor="_Toc134294122"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Party Liability to Aggravated Assault</w:t>
            </w:r>
            <w:r w:rsidRPr="001B3304">
              <w:rPr>
                <w:noProof/>
                <w:webHidden/>
              </w:rPr>
              <w:tab/>
            </w:r>
            <w:r w:rsidRPr="001B3304">
              <w:rPr>
                <w:noProof/>
                <w:webHidden/>
              </w:rPr>
              <w:fldChar w:fldCharType="begin"/>
            </w:r>
            <w:r w:rsidRPr="001B3304">
              <w:rPr>
                <w:noProof/>
                <w:webHidden/>
              </w:rPr>
              <w:instrText xml:space="preserve"> PAGEREF _Toc134294122 \h </w:instrText>
            </w:r>
            <w:r w:rsidRPr="001B3304">
              <w:rPr>
                <w:noProof/>
                <w:webHidden/>
              </w:rPr>
            </w:r>
            <w:r w:rsidRPr="001B3304">
              <w:rPr>
                <w:noProof/>
                <w:webHidden/>
              </w:rPr>
              <w:fldChar w:fldCharType="separate"/>
            </w:r>
            <w:r w:rsidR="00CC73A9">
              <w:rPr>
                <w:noProof/>
                <w:webHidden/>
              </w:rPr>
              <w:t>49</w:t>
            </w:r>
            <w:r w:rsidRPr="001B3304">
              <w:rPr>
                <w:noProof/>
                <w:webHidden/>
              </w:rPr>
              <w:fldChar w:fldCharType="end"/>
            </w:r>
          </w:hyperlink>
        </w:p>
        <w:p w14:paraId="64C62189" w14:textId="3A1DE255"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23" w:history="1">
            <w:r w:rsidRPr="001B3304">
              <w:rPr>
                <w:rStyle w:val="Hyperlink"/>
                <w:rFonts w:ascii="Arial" w:hAnsi="Arial" w:cs="Arial"/>
                <w:noProof/>
                <w:sz w:val="24"/>
                <w:szCs w:val="24"/>
              </w:rPr>
              <w:t>P.</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Sexual Assault: s.271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_Toc134294123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49</w:t>
            </w:r>
            <w:r w:rsidRPr="001B3304">
              <w:rPr>
                <w:rFonts w:ascii="Arial" w:hAnsi="Arial" w:cs="Arial"/>
                <w:noProof/>
                <w:webHidden/>
                <w:sz w:val="24"/>
                <w:szCs w:val="24"/>
              </w:rPr>
              <w:fldChar w:fldCharType="end"/>
            </w:r>
          </w:hyperlink>
        </w:p>
        <w:p w14:paraId="2001643B" w14:textId="0F085485" w:rsidR="001B3304" w:rsidRPr="001B3304" w:rsidRDefault="001B3304" w:rsidP="00CC73A9">
          <w:pPr>
            <w:pStyle w:val="TOC3"/>
            <w:rPr>
              <w:rFonts w:eastAsiaTheme="minorEastAsia"/>
              <w:noProof/>
              <w:kern w:val="2"/>
              <w:lang w:val="en-CA"/>
              <w14:ligatures w14:val="standardContextual"/>
            </w:rPr>
          </w:pPr>
          <w:hyperlink w:anchor="_Toc134294124" w:history="1">
            <w:r w:rsidRPr="001B3304">
              <w:rPr>
                <w:rStyle w:val="Hyperlink"/>
                <w:rFonts w:ascii="Arial" w:hAnsi="Arial" w:cs="Arial"/>
                <w:noProof/>
                <w:sz w:val="24"/>
                <w:szCs w:val="24"/>
                <w14:scene3d>
                  <w14:camera w14:prst="orthographicFront"/>
                  <w14:lightRig w14:rig="threePt" w14:dir="t">
                    <w14:rot w14:lat="0" w14:lon="0" w14:rev="0"/>
                  </w14:lightRig>
                </w14:scene3d>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The Test</w:t>
            </w:r>
            <w:r w:rsidRPr="001B3304">
              <w:rPr>
                <w:noProof/>
                <w:webHidden/>
              </w:rPr>
              <w:tab/>
            </w:r>
            <w:r w:rsidRPr="001B3304">
              <w:rPr>
                <w:noProof/>
                <w:webHidden/>
              </w:rPr>
              <w:fldChar w:fldCharType="begin"/>
            </w:r>
            <w:r w:rsidRPr="001B3304">
              <w:rPr>
                <w:noProof/>
                <w:webHidden/>
              </w:rPr>
              <w:instrText xml:space="preserve"> PAGEREF _Toc134294124 \h </w:instrText>
            </w:r>
            <w:r w:rsidRPr="001B3304">
              <w:rPr>
                <w:noProof/>
                <w:webHidden/>
              </w:rPr>
            </w:r>
            <w:r w:rsidRPr="001B3304">
              <w:rPr>
                <w:noProof/>
                <w:webHidden/>
              </w:rPr>
              <w:fldChar w:fldCharType="separate"/>
            </w:r>
            <w:r w:rsidR="00CC73A9">
              <w:rPr>
                <w:noProof/>
                <w:webHidden/>
              </w:rPr>
              <w:t>49</w:t>
            </w:r>
            <w:r w:rsidRPr="001B3304">
              <w:rPr>
                <w:noProof/>
                <w:webHidden/>
              </w:rPr>
              <w:fldChar w:fldCharType="end"/>
            </w:r>
          </w:hyperlink>
        </w:p>
        <w:p w14:paraId="706EFA1B" w14:textId="6D686F31" w:rsidR="001B3304" w:rsidRPr="001B3304" w:rsidRDefault="001B3304" w:rsidP="00CC73A9">
          <w:pPr>
            <w:pStyle w:val="TOC3"/>
            <w:rPr>
              <w:rFonts w:eastAsiaTheme="minorEastAsia"/>
              <w:noProof/>
              <w:kern w:val="2"/>
              <w:lang w:val="en-CA"/>
              <w14:ligatures w14:val="standardContextual"/>
            </w:rPr>
          </w:pPr>
          <w:hyperlink w:anchor="_Toc134294125" w:history="1">
            <w:r w:rsidRPr="001B3304">
              <w:rPr>
                <w:rStyle w:val="Hyperlink"/>
                <w:rFonts w:ascii="Arial" w:hAnsi="Arial" w:cs="Arial"/>
                <w:noProof/>
                <w:sz w:val="24"/>
                <w:szCs w:val="24"/>
                <w14:scene3d>
                  <w14:camera w14:prst="orthographicFront"/>
                  <w14:lightRig w14:rig="threePt" w14:dir="t">
                    <w14:rot w14:lat="0" w14:lon="0" w14:rev="0"/>
                  </w14:lightRig>
                </w14:scene3d>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Element #1: Touching a Person's Body</w:t>
            </w:r>
            <w:r w:rsidRPr="001B3304">
              <w:rPr>
                <w:noProof/>
                <w:webHidden/>
              </w:rPr>
              <w:tab/>
            </w:r>
            <w:r w:rsidRPr="001B3304">
              <w:rPr>
                <w:noProof/>
                <w:webHidden/>
              </w:rPr>
              <w:fldChar w:fldCharType="begin"/>
            </w:r>
            <w:r w:rsidRPr="001B3304">
              <w:rPr>
                <w:noProof/>
                <w:webHidden/>
              </w:rPr>
              <w:instrText xml:space="preserve"> PAGEREF _Toc134294125 \h </w:instrText>
            </w:r>
            <w:r w:rsidRPr="001B3304">
              <w:rPr>
                <w:noProof/>
                <w:webHidden/>
              </w:rPr>
            </w:r>
            <w:r w:rsidRPr="001B3304">
              <w:rPr>
                <w:noProof/>
                <w:webHidden/>
              </w:rPr>
              <w:fldChar w:fldCharType="separate"/>
            </w:r>
            <w:r w:rsidR="00CC73A9">
              <w:rPr>
                <w:noProof/>
                <w:webHidden/>
              </w:rPr>
              <w:t>49</w:t>
            </w:r>
            <w:r w:rsidRPr="001B3304">
              <w:rPr>
                <w:noProof/>
                <w:webHidden/>
              </w:rPr>
              <w:fldChar w:fldCharType="end"/>
            </w:r>
          </w:hyperlink>
        </w:p>
        <w:p w14:paraId="6C7DD35E" w14:textId="4656AF6C" w:rsidR="001B3304" w:rsidRPr="001B3304" w:rsidRDefault="001B3304" w:rsidP="00CC73A9">
          <w:pPr>
            <w:pStyle w:val="TOC3"/>
            <w:rPr>
              <w:rFonts w:eastAsiaTheme="minorEastAsia"/>
              <w:noProof/>
              <w:kern w:val="2"/>
              <w:lang w:val="en-CA"/>
              <w14:ligatures w14:val="standardContextual"/>
            </w:rPr>
          </w:pPr>
          <w:hyperlink w:anchor="_Toc134294126" w:history="1">
            <w:r w:rsidRPr="001B3304">
              <w:rPr>
                <w:rStyle w:val="Hyperlink"/>
                <w:rFonts w:ascii="Arial" w:hAnsi="Arial" w:cs="Arial"/>
                <w:noProof/>
                <w:sz w:val="24"/>
                <w:szCs w:val="24"/>
                <w14:scene3d>
                  <w14:camera w14:prst="orthographicFront"/>
                  <w14:lightRig w14:rig="threePt" w14:dir="t">
                    <w14:rot w14:lat="0" w14:lon="0" w14:rev="0"/>
                  </w14:lightRig>
                </w14:scene3d>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Element #2: In circumstances of a Sexual Nature</w:t>
            </w:r>
            <w:r w:rsidRPr="001B3304">
              <w:rPr>
                <w:noProof/>
                <w:webHidden/>
              </w:rPr>
              <w:tab/>
            </w:r>
            <w:r w:rsidRPr="001B3304">
              <w:rPr>
                <w:noProof/>
                <w:webHidden/>
              </w:rPr>
              <w:fldChar w:fldCharType="begin"/>
            </w:r>
            <w:r w:rsidRPr="001B3304">
              <w:rPr>
                <w:noProof/>
                <w:webHidden/>
              </w:rPr>
              <w:instrText xml:space="preserve"> PAGEREF _Toc134294126 \h </w:instrText>
            </w:r>
            <w:r w:rsidRPr="001B3304">
              <w:rPr>
                <w:noProof/>
                <w:webHidden/>
              </w:rPr>
            </w:r>
            <w:r w:rsidRPr="001B3304">
              <w:rPr>
                <w:noProof/>
                <w:webHidden/>
              </w:rPr>
              <w:fldChar w:fldCharType="separate"/>
            </w:r>
            <w:r w:rsidR="00CC73A9">
              <w:rPr>
                <w:noProof/>
                <w:webHidden/>
              </w:rPr>
              <w:t>49</w:t>
            </w:r>
            <w:r w:rsidRPr="001B3304">
              <w:rPr>
                <w:noProof/>
                <w:webHidden/>
              </w:rPr>
              <w:fldChar w:fldCharType="end"/>
            </w:r>
          </w:hyperlink>
        </w:p>
        <w:p w14:paraId="3222BD34" w14:textId="104DDE65" w:rsidR="001B3304" w:rsidRPr="001B3304" w:rsidRDefault="001B3304" w:rsidP="00CC73A9">
          <w:pPr>
            <w:pStyle w:val="TOC3"/>
            <w:rPr>
              <w:rFonts w:eastAsiaTheme="minorEastAsia"/>
              <w:noProof/>
              <w:kern w:val="2"/>
              <w:lang w:val="en-CA"/>
              <w14:ligatures w14:val="standardContextual"/>
            </w:rPr>
          </w:pPr>
          <w:hyperlink w:anchor="_Toc134294127" w:history="1">
            <w:r w:rsidRPr="001B3304">
              <w:rPr>
                <w:rStyle w:val="Hyperlink"/>
                <w:rFonts w:ascii="Arial" w:hAnsi="Arial" w:cs="Arial"/>
                <w:noProof/>
                <w:sz w:val="24"/>
                <w:szCs w:val="24"/>
                <w14:scene3d>
                  <w14:camera w14:prst="orthographicFront"/>
                  <w14:lightRig w14:rig="threePt" w14:dir="t">
                    <w14:rot w14:lat="0" w14:lon="0" w14:rev="0"/>
                  </w14:lightRig>
                </w14:scene3d>
              </w:rPr>
              <w:t>iv.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Element #3: Without Consent</w:t>
            </w:r>
            <w:r w:rsidRPr="001B3304">
              <w:rPr>
                <w:noProof/>
                <w:webHidden/>
              </w:rPr>
              <w:tab/>
            </w:r>
            <w:r w:rsidRPr="001B3304">
              <w:rPr>
                <w:noProof/>
                <w:webHidden/>
              </w:rPr>
              <w:fldChar w:fldCharType="begin"/>
            </w:r>
            <w:r w:rsidRPr="001B3304">
              <w:rPr>
                <w:noProof/>
                <w:webHidden/>
              </w:rPr>
              <w:instrText xml:space="preserve"> PAGEREF _Toc134294127 \h </w:instrText>
            </w:r>
            <w:r w:rsidRPr="001B3304">
              <w:rPr>
                <w:noProof/>
                <w:webHidden/>
              </w:rPr>
            </w:r>
            <w:r w:rsidRPr="001B3304">
              <w:rPr>
                <w:noProof/>
                <w:webHidden/>
              </w:rPr>
              <w:fldChar w:fldCharType="separate"/>
            </w:r>
            <w:r w:rsidR="00CC73A9">
              <w:rPr>
                <w:noProof/>
                <w:webHidden/>
              </w:rPr>
              <w:t>50</w:t>
            </w:r>
            <w:r w:rsidRPr="001B3304">
              <w:rPr>
                <w:noProof/>
                <w:webHidden/>
              </w:rPr>
              <w:fldChar w:fldCharType="end"/>
            </w:r>
          </w:hyperlink>
        </w:p>
        <w:p w14:paraId="79C137B3" w14:textId="016AB5E5" w:rsidR="001B3304" w:rsidRPr="001B3304" w:rsidRDefault="001B3304" w:rsidP="00CC73A9">
          <w:pPr>
            <w:pStyle w:val="TOC3"/>
            <w:rPr>
              <w:rFonts w:eastAsiaTheme="minorEastAsia"/>
              <w:noProof/>
              <w:kern w:val="2"/>
              <w:lang w:val="en-CA"/>
              <w14:ligatures w14:val="standardContextual"/>
            </w:rPr>
          </w:pPr>
          <w:hyperlink w:anchor="_Toc134294128"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General Principles</w:t>
            </w:r>
            <w:r w:rsidRPr="001B3304">
              <w:rPr>
                <w:noProof/>
                <w:webHidden/>
              </w:rPr>
              <w:tab/>
            </w:r>
            <w:r w:rsidRPr="001B3304">
              <w:rPr>
                <w:noProof/>
                <w:webHidden/>
              </w:rPr>
              <w:fldChar w:fldCharType="begin"/>
            </w:r>
            <w:r w:rsidRPr="001B3304">
              <w:rPr>
                <w:noProof/>
                <w:webHidden/>
              </w:rPr>
              <w:instrText xml:space="preserve"> PAGEREF _Toc134294128 \h </w:instrText>
            </w:r>
            <w:r w:rsidRPr="001B3304">
              <w:rPr>
                <w:noProof/>
                <w:webHidden/>
              </w:rPr>
            </w:r>
            <w:r w:rsidRPr="001B3304">
              <w:rPr>
                <w:noProof/>
                <w:webHidden/>
              </w:rPr>
              <w:fldChar w:fldCharType="separate"/>
            </w:r>
            <w:r w:rsidR="00CC73A9">
              <w:rPr>
                <w:noProof/>
                <w:webHidden/>
              </w:rPr>
              <w:t>53</w:t>
            </w:r>
            <w:r w:rsidRPr="001B3304">
              <w:rPr>
                <w:noProof/>
                <w:webHidden/>
              </w:rPr>
              <w:fldChar w:fldCharType="end"/>
            </w:r>
          </w:hyperlink>
        </w:p>
        <w:p w14:paraId="0482B6A2" w14:textId="622B4619" w:rsidR="001B3304" w:rsidRPr="001B3304" w:rsidRDefault="001B3304" w:rsidP="00CC73A9">
          <w:pPr>
            <w:pStyle w:val="TOC3"/>
            <w:rPr>
              <w:rFonts w:eastAsiaTheme="minorEastAsia"/>
              <w:noProof/>
              <w:kern w:val="2"/>
              <w:lang w:val="en-CA"/>
              <w14:ligatures w14:val="standardContextual"/>
            </w:rPr>
          </w:pPr>
          <w:hyperlink w:anchor="_Toc134294129"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Vitiation of Consent Based on Bodily Harm or Threats</w:t>
            </w:r>
            <w:r w:rsidRPr="001B3304">
              <w:rPr>
                <w:noProof/>
                <w:webHidden/>
              </w:rPr>
              <w:tab/>
            </w:r>
            <w:r w:rsidRPr="001B3304">
              <w:rPr>
                <w:noProof/>
                <w:webHidden/>
              </w:rPr>
              <w:fldChar w:fldCharType="begin"/>
            </w:r>
            <w:r w:rsidRPr="001B3304">
              <w:rPr>
                <w:noProof/>
                <w:webHidden/>
              </w:rPr>
              <w:instrText xml:space="preserve"> PAGEREF _Toc134294129 \h </w:instrText>
            </w:r>
            <w:r w:rsidRPr="001B3304">
              <w:rPr>
                <w:noProof/>
                <w:webHidden/>
              </w:rPr>
            </w:r>
            <w:r w:rsidRPr="001B3304">
              <w:rPr>
                <w:noProof/>
                <w:webHidden/>
              </w:rPr>
              <w:fldChar w:fldCharType="separate"/>
            </w:r>
            <w:r w:rsidR="00CC73A9">
              <w:rPr>
                <w:noProof/>
                <w:webHidden/>
              </w:rPr>
              <w:t>54</w:t>
            </w:r>
            <w:r w:rsidRPr="001B3304">
              <w:rPr>
                <w:noProof/>
                <w:webHidden/>
              </w:rPr>
              <w:fldChar w:fldCharType="end"/>
            </w:r>
          </w:hyperlink>
        </w:p>
        <w:p w14:paraId="25A507D8" w14:textId="2AFBB48A" w:rsidR="001B3304" w:rsidRPr="001B3304" w:rsidRDefault="001B3304" w:rsidP="00CC73A9">
          <w:pPr>
            <w:pStyle w:val="TOC3"/>
            <w:rPr>
              <w:rFonts w:eastAsiaTheme="minorEastAsia"/>
              <w:noProof/>
              <w:kern w:val="2"/>
              <w:lang w:val="en-CA"/>
              <w14:ligatures w14:val="standardContextual"/>
            </w:rPr>
          </w:pPr>
          <w:hyperlink w:anchor="_Toc134294130" w:history="1">
            <w:r w:rsidRPr="001B3304">
              <w:rPr>
                <w:rStyle w:val="Hyperlink"/>
                <w:rFonts w:ascii="Arial" w:hAnsi="Arial" w:cs="Arial"/>
                <w:noProof/>
                <w:sz w:val="24"/>
                <w:szCs w:val="24"/>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Vitiation of Consent based on Fraud</w:t>
            </w:r>
            <w:r w:rsidRPr="001B3304">
              <w:rPr>
                <w:noProof/>
                <w:webHidden/>
              </w:rPr>
              <w:tab/>
            </w:r>
            <w:r w:rsidRPr="001B3304">
              <w:rPr>
                <w:noProof/>
                <w:webHidden/>
              </w:rPr>
              <w:fldChar w:fldCharType="begin"/>
            </w:r>
            <w:r w:rsidRPr="001B3304">
              <w:rPr>
                <w:noProof/>
                <w:webHidden/>
              </w:rPr>
              <w:instrText xml:space="preserve"> PAGEREF _Toc134294130 \h </w:instrText>
            </w:r>
            <w:r w:rsidRPr="001B3304">
              <w:rPr>
                <w:noProof/>
                <w:webHidden/>
              </w:rPr>
            </w:r>
            <w:r w:rsidRPr="001B3304">
              <w:rPr>
                <w:noProof/>
                <w:webHidden/>
              </w:rPr>
              <w:fldChar w:fldCharType="separate"/>
            </w:r>
            <w:r w:rsidR="00CC73A9">
              <w:rPr>
                <w:noProof/>
                <w:webHidden/>
              </w:rPr>
              <w:t>54</w:t>
            </w:r>
            <w:r w:rsidRPr="001B3304">
              <w:rPr>
                <w:noProof/>
                <w:webHidden/>
              </w:rPr>
              <w:fldChar w:fldCharType="end"/>
            </w:r>
          </w:hyperlink>
        </w:p>
        <w:p w14:paraId="472ABCA4" w14:textId="502DBE48" w:rsidR="001B3304" w:rsidRPr="001B3304" w:rsidRDefault="001B3304" w:rsidP="00CC73A9">
          <w:pPr>
            <w:pStyle w:val="TOC3"/>
            <w:rPr>
              <w:rFonts w:eastAsiaTheme="minorEastAsia"/>
              <w:noProof/>
              <w:kern w:val="2"/>
              <w:lang w:val="en-CA"/>
              <w14:ligatures w14:val="standardContextual"/>
            </w:rPr>
          </w:pPr>
          <w:hyperlink w:anchor="_Toc134294131" w:history="1">
            <w:r w:rsidRPr="001B3304">
              <w:rPr>
                <w:rStyle w:val="Hyperlink"/>
                <w:rFonts w:ascii="Arial" w:hAnsi="Arial" w:cs="Arial"/>
                <w:noProof/>
                <w:sz w:val="24"/>
                <w:szCs w:val="24"/>
              </w:rPr>
              <w:t>iv.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Defence of Sexsomnia</w:t>
            </w:r>
            <w:r w:rsidRPr="001B3304">
              <w:rPr>
                <w:noProof/>
                <w:webHidden/>
              </w:rPr>
              <w:tab/>
            </w:r>
            <w:r w:rsidRPr="001B3304">
              <w:rPr>
                <w:noProof/>
                <w:webHidden/>
              </w:rPr>
              <w:fldChar w:fldCharType="begin"/>
            </w:r>
            <w:r w:rsidRPr="001B3304">
              <w:rPr>
                <w:noProof/>
                <w:webHidden/>
              </w:rPr>
              <w:instrText xml:space="preserve"> PAGEREF _Toc134294131 \h </w:instrText>
            </w:r>
            <w:r w:rsidRPr="001B3304">
              <w:rPr>
                <w:noProof/>
                <w:webHidden/>
              </w:rPr>
            </w:r>
            <w:r w:rsidRPr="001B3304">
              <w:rPr>
                <w:noProof/>
                <w:webHidden/>
              </w:rPr>
              <w:fldChar w:fldCharType="separate"/>
            </w:r>
            <w:r w:rsidR="00CC73A9">
              <w:rPr>
                <w:noProof/>
                <w:webHidden/>
              </w:rPr>
              <w:t>57</w:t>
            </w:r>
            <w:r w:rsidRPr="001B3304">
              <w:rPr>
                <w:noProof/>
                <w:webHidden/>
              </w:rPr>
              <w:fldChar w:fldCharType="end"/>
            </w:r>
          </w:hyperlink>
        </w:p>
        <w:p w14:paraId="4D93AAE1" w14:textId="73C343EC" w:rsidR="001B3304" w:rsidRPr="001B3304" w:rsidRDefault="001B3304" w:rsidP="00CC73A9">
          <w:pPr>
            <w:pStyle w:val="TOC3"/>
            <w:rPr>
              <w:rFonts w:eastAsiaTheme="minorEastAsia"/>
              <w:noProof/>
              <w:kern w:val="2"/>
              <w:lang w:val="en-CA"/>
              <w14:ligatures w14:val="standardContextual"/>
            </w:rPr>
          </w:pPr>
          <w:hyperlink w:anchor="_Toc134294132" w:history="1">
            <w:r w:rsidRPr="001B3304">
              <w:rPr>
                <w:rStyle w:val="Hyperlink"/>
                <w:rFonts w:ascii="Arial" w:hAnsi="Arial" w:cs="Arial"/>
                <w:noProof/>
                <w:sz w:val="24"/>
                <w:szCs w:val="24"/>
              </w:rPr>
              <w:t>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Delayed Disclosure</w:t>
            </w:r>
            <w:r w:rsidRPr="001B3304">
              <w:rPr>
                <w:noProof/>
                <w:webHidden/>
              </w:rPr>
              <w:tab/>
            </w:r>
            <w:r w:rsidRPr="001B3304">
              <w:rPr>
                <w:noProof/>
                <w:webHidden/>
              </w:rPr>
              <w:fldChar w:fldCharType="begin"/>
            </w:r>
            <w:r w:rsidRPr="001B3304">
              <w:rPr>
                <w:noProof/>
                <w:webHidden/>
              </w:rPr>
              <w:instrText xml:space="preserve"> PAGEREF _Toc134294132 \h </w:instrText>
            </w:r>
            <w:r w:rsidRPr="001B3304">
              <w:rPr>
                <w:noProof/>
                <w:webHidden/>
              </w:rPr>
            </w:r>
            <w:r w:rsidRPr="001B3304">
              <w:rPr>
                <w:noProof/>
                <w:webHidden/>
              </w:rPr>
              <w:fldChar w:fldCharType="separate"/>
            </w:r>
            <w:r w:rsidR="00CC73A9">
              <w:rPr>
                <w:noProof/>
                <w:webHidden/>
              </w:rPr>
              <w:t>57</w:t>
            </w:r>
            <w:r w:rsidRPr="001B3304">
              <w:rPr>
                <w:noProof/>
                <w:webHidden/>
              </w:rPr>
              <w:fldChar w:fldCharType="end"/>
            </w:r>
          </w:hyperlink>
        </w:p>
        <w:p w14:paraId="350F68A2" w14:textId="311E068B" w:rsidR="001B3304" w:rsidRPr="001B3304" w:rsidRDefault="001B3304" w:rsidP="00CC73A9">
          <w:pPr>
            <w:pStyle w:val="TOC3"/>
            <w:rPr>
              <w:rFonts w:eastAsiaTheme="minorEastAsia"/>
              <w:noProof/>
              <w:kern w:val="2"/>
              <w:lang w:val="en-CA"/>
              <w14:ligatures w14:val="standardContextual"/>
            </w:rPr>
          </w:pPr>
          <w:hyperlink w:anchor="_Toc134294133" w:history="1">
            <w:r w:rsidRPr="001B3304">
              <w:rPr>
                <w:rStyle w:val="Hyperlink"/>
                <w:rFonts w:ascii="Arial" w:hAnsi="Arial" w:cs="Arial"/>
                <w:noProof/>
                <w:sz w:val="24"/>
                <w:szCs w:val="24"/>
              </w:rPr>
              <w:t>vi.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Indigenous Victims</w:t>
            </w:r>
            <w:r w:rsidRPr="001B3304">
              <w:rPr>
                <w:noProof/>
                <w:webHidden/>
              </w:rPr>
              <w:tab/>
            </w:r>
            <w:r w:rsidRPr="001B3304">
              <w:rPr>
                <w:noProof/>
                <w:webHidden/>
              </w:rPr>
              <w:fldChar w:fldCharType="begin"/>
            </w:r>
            <w:r w:rsidRPr="001B3304">
              <w:rPr>
                <w:noProof/>
                <w:webHidden/>
              </w:rPr>
              <w:instrText xml:space="preserve"> PAGEREF _Toc134294133 \h </w:instrText>
            </w:r>
            <w:r w:rsidRPr="001B3304">
              <w:rPr>
                <w:noProof/>
                <w:webHidden/>
              </w:rPr>
            </w:r>
            <w:r w:rsidRPr="001B3304">
              <w:rPr>
                <w:noProof/>
                <w:webHidden/>
              </w:rPr>
              <w:fldChar w:fldCharType="separate"/>
            </w:r>
            <w:r w:rsidR="00CC73A9">
              <w:rPr>
                <w:noProof/>
                <w:webHidden/>
              </w:rPr>
              <w:t>57</w:t>
            </w:r>
            <w:r w:rsidRPr="001B3304">
              <w:rPr>
                <w:noProof/>
                <w:webHidden/>
              </w:rPr>
              <w:fldChar w:fldCharType="end"/>
            </w:r>
          </w:hyperlink>
        </w:p>
        <w:p w14:paraId="2B2DE219" w14:textId="27F1A608"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34" w:history="1">
            <w:r w:rsidRPr="001B3304">
              <w:rPr>
                <w:rStyle w:val="Hyperlink"/>
                <w:rFonts w:ascii="Arial" w:hAnsi="Arial" w:cs="Arial"/>
                <w:noProof/>
                <w:sz w:val="24"/>
                <w:szCs w:val="24"/>
              </w:rPr>
              <w:t>Q.</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Forcible Confinement: s.279(2)</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_Toc134294134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57</w:t>
            </w:r>
            <w:r w:rsidRPr="001B3304">
              <w:rPr>
                <w:rFonts w:ascii="Arial" w:hAnsi="Arial" w:cs="Arial"/>
                <w:noProof/>
                <w:webHidden/>
                <w:sz w:val="24"/>
                <w:szCs w:val="24"/>
              </w:rPr>
              <w:fldChar w:fldCharType="end"/>
            </w:r>
          </w:hyperlink>
        </w:p>
        <w:p w14:paraId="1A47AB5B" w14:textId="2249CF17"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35" w:history="1">
            <w:r w:rsidRPr="001B3304">
              <w:rPr>
                <w:rStyle w:val="Hyperlink"/>
                <w:rFonts w:ascii="Arial" w:hAnsi="Arial" w:cs="Arial"/>
                <w:noProof/>
                <w:sz w:val="24"/>
                <w:szCs w:val="24"/>
              </w:rPr>
              <w:t>R.</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Human Trafficking: s.279.01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_Toc134294135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58</w:t>
            </w:r>
            <w:r w:rsidRPr="001B3304">
              <w:rPr>
                <w:rFonts w:ascii="Arial" w:hAnsi="Arial" w:cs="Arial"/>
                <w:noProof/>
                <w:webHidden/>
                <w:sz w:val="24"/>
                <w:szCs w:val="24"/>
              </w:rPr>
              <w:fldChar w:fldCharType="end"/>
            </w:r>
          </w:hyperlink>
        </w:p>
        <w:p w14:paraId="4A858678" w14:textId="3031F658"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36" w:history="1">
            <w:r w:rsidRPr="001B3304">
              <w:rPr>
                <w:rStyle w:val="Hyperlink"/>
                <w:rFonts w:ascii="Arial" w:hAnsi="Arial" w:cs="Arial"/>
                <w:noProof/>
                <w:sz w:val="24"/>
                <w:szCs w:val="24"/>
              </w:rPr>
              <w:t>S.</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Procuring OR HARBOURING: s. 286.3</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_Toc134294136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60</w:t>
            </w:r>
            <w:r w:rsidRPr="001B3304">
              <w:rPr>
                <w:rFonts w:ascii="Arial" w:hAnsi="Arial" w:cs="Arial"/>
                <w:noProof/>
                <w:webHidden/>
                <w:sz w:val="24"/>
                <w:szCs w:val="24"/>
              </w:rPr>
              <w:fldChar w:fldCharType="end"/>
            </w:r>
          </w:hyperlink>
        </w:p>
        <w:p w14:paraId="7F847D36" w14:textId="152B3DBC" w:rsidR="001B3304" w:rsidRPr="001B3304" w:rsidRDefault="001B3304" w:rsidP="00CC73A9">
          <w:pPr>
            <w:pStyle w:val="TOC2"/>
            <w:spacing w:line="600" w:lineRule="auto"/>
            <w:rPr>
              <w:rStyle w:val="Hyperlink"/>
              <w:rFonts w:ascii="Arial" w:hAnsi="Arial" w:cs="Arial"/>
              <w:noProof/>
              <w:sz w:val="24"/>
              <w:szCs w:val="24"/>
            </w:rPr>
          </w:pPr>
          <w:hyperlink w:anchor="_Toc134294137" w:history="1">
            <w:r w:rsidRPr="001B3304">
              <w:rPr>
                <w:rStyle w:val="Hyperlink"/>
                <w:rFonts w:ascii="Arial" w:hAnsi="Arial" w:cs="Arial"/>
                <w:noProof/>
                <w:sz w:val="24"/>
                <w:szCs w:val="24"/>
              </w:rPr>
              <w:t>T.</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Advertising Sexual Services: S.286.4</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_Toc134294137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62</w:t>
            </w:r>
            <w:r w:rsidRPr="001B3304">
              <w:rPr>
                <w:rFonts w:ascii="Arial" w:hAnsi="Arial" w:cs="Arial"/>
                <w:noProof/>
                <w:webHidden/>
                <w:sz w:val="24"/>
                <w:szCs w:val="24"/>
              </w:rPr>
              <w:fldChar w:fldCharType="end"/>
            </w:r>
          </w:hyperlink>
        </w:p>
        <w:p w14:paraId="69AB721F" w14:textId="77777777" w:rsidR="001B3304" w:rsidRPr="001B3304" w:rsidRDefault="001B3304" w:rsidP="00CC73A9">
          <w:pPr>
            <w:spacing w:line="600" w:lineRule="auto"/>
            <w:rPr>
              <w:rFonts w:ascii="Arial" w:eastAsiaTheme="minorEastAsia" w:hAnsi="Arial" w:cs="Arial"/>
              <w:noProof/>
              <w:lang w:val="en-US"/>
            </w:rPr>
          </w:pPr>
        </w:p>
        <w:p w14:paraId="239BEA25" w14:textId="1B440122" w:rsidR="001B3304" w:rsidRPr="00CC73A9" w:rsidRDefault="001B3304" w:rsidP="00CC73A9">
          <w:pPr>
            <w:pStyle w:val="TOC1"/>
            <w:spacing w:line="600" w:lineRule="auto"/>
            <w:rPr>
              <w:color w:val="0000FF"/>
              <w:u w:val="single"/>
            </w:rPr>
          </w:pPr>
          <w:hyperlink w:anchor="_Toc134294138" w:history="1">
            <w:r w:rsidRPr="001B3304">
              <w:rPr>
                <w:rStyle w:val="Hyperlink"/>
              </w:rPr>
              <w:t>PAR</w:t>
            </w:r>
            <w:r w:rsidRPr="001B3304">
              <w:rPr>
                <w:rStyle w:val="Hyperlink"/>
              </w:rPr>
              <w:t>T</w:t>
            </w:r>
            <w:r w:rsidRPr="001B3304">
              <w:rPr>
                <w:rStyle w:val="Hyperlink"/>
              </w:rPr>
              <w:t xml:space="preserve"> VIII.1: OFFENCES RELATING TO CONVEYANCES</w:t>
            </w:r>
            <w:r w:rsidRPr="001B3304">
              <w:rPr>
                <w:webHidden/>
              </w:rPr>
              <w:tab/>
            </w:r>
            <w:r w:rsidRPr="001B3304">
              <w:rPr>
                <w:webHidden/>
              </w:rPr>
              <w:fldChar w:fldCharType="begin"/>
            </w:r>
            <w:r w:rsidRPr="001B3304">
              <w:rPr>
                <w:webHidden/>
              </w:rPr>
              <w:instrText xml:space="preserve"> PAGEREF _Toc134294138 \h </w:instrText>
            </w:r>
            <w:r w:rsidRPr="001B3304">
              <w:rPr>
                <w:webHidden/>
              </w:rPr>
            </w:r>
            <w:r w:rsidRPr="001B3304">
              <w:rPr>
                <w:webHidden/>
              </w:rPr>
              <w:fldChar w:fldCharType="separate"/>
            </w:r>
            <w:r w:rsidR="00CC73A9">
              <w:rPr>
                <w:webHidden/>
              </w:rPr>
              <w:t>62</w:t>
            </w:r>
            <w:r w:rsidRPr="001B3304">
              <w:rPr>
                <w:webHidden/>
              </w:rPr>
              <w:fldChar w:fldCharType="end"/>
            </w:r>
          </w:hyperlink>
        </w:p>
        <w:p w14:paraId="43E55D2D" w14:textId="74E670A5"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39"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Dangerous Driving: s.320.13</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_Toc134294139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62</w:t>
            </w:r>
            <w:r w:rsidRPr="001B3304">
              <w:rPr>
                <w:rFonts w:ascii="Arial" w:hAnsi="Arial" w:cs="Arial"/>
                <w:noProof/>
                <w:webHidden/>
                <w:sz w:val="24"/>
                <w:szCs w:val="24"/>
              </w:rPr>
              <w:fldChar w:fldCharType="end"/>
            </w:r>
          </w:hyperlink>
        </w:p>
        <w:p w14:paraId="513463CF" w14:textId="098B3001" w:rsidR="001B3304" w:rsidRPr="001B3304" w:rsidRDefault="001B3304" w:rsidP="00CC73A9">
          <w:pPr>
            <w:pStyle w:val="TOC3"/>
            <w:rPr>
              <w:rFonts w:eastAsiaTheme="minorEastAsia"/>
              <w:noProof/>
              <w:kern w:val="2"/>
              <w:lang w:val="en-CA"/>
              <w14:ligatures w14:val="standardContextual"/>
            </w:rPr>
          </w:pPr>
          <w:hyperlink w:anchor="_Toc134294140"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Actus Reus</w:t>
            </w:r>
            <w:r w:rsidRPr="001B3304">
              <w:rPr>
                <w:noProof/>
                <w:webHidden/>
              </w:rPr>
              <w:tab/>
            </w:r>
            <w:r w:rsidRPr="001B3304">
              <w:rPr>
                <w:noProof/>
                <w:webHidden/>
              </w:rPr>
              <w:fldChar w:fldCharType="begin"/>
            </w:r>
            <w:r w:rsidRPr="001B3304">
              <w:rPr>
                <w:noProof/>
                <w:webHidden/>
              </w:rPr>
              <w:instrText xml:space="preserve"> PAGEREF _Toc134294140 \h </w:instrText>
            </w:r>
            <w:r w:rsidRPr="001B3304">
              <w:rPr>
                <w:noProof/>
                <w:webHidden/>
              </w:rPr>
            </w:r>
            <w:r w:rsidRPr="001B3304">
              <w:rPr>
                <w:noProof/>
                <w:webHidden/>
              </w:rPr>
              <w:fldChar w:fldCharType="separate"/>
            </w:r>
            <w:r w:rsidR="00CC73A9">
              <w:rPr>
                <w:noProof/>
                <w:webHidden/>
              </w:rPr>
              <w:t>62</w:t>
            </w:r>
            <w:r w:rsidRPr="001B3304">
              <w:rPr>
                <w:noProof/>
                <w:webHidden/>
              </w:rPr>
              <w:fldChar w:fldCharType="end"/>
            </w:r>
          </w:hyperlink>
        </w:p>
        <w:p w14:paraId="61E5DB95" w14:textId="688CE5DA" w:rsidR="001B3304" w:rsidRPr="001B3304" w:rsidRDefault="001B3304" w:rsidP="00CC73A9">
          <w:pPr>
            <w:pStyle w:val="TOC3"/>
            <w:rPr>
              <w:rFonts w:eastAsiaTheme="minorEastAsia"/>
              <w:noProof/>
              <w:kern w:val="2"/>
              <w:lang w:val="en-CA"/>
              <w14:ligatures w14:val="standardContextual"/>
            </w:rPr>
          </w:pPr>
          <w:hyperlink w:anchor="_Toc134294141"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Mens Rea</w:t>
            </w:r>
            <w:r w:rsidRPr="001B3304">
              <w:rPr>
                <w:noProof/>
                <w:webHidden/>
              </w:rPr>
              <w:tab/>
            </w:r>
            <w:r w:rsidRPr="001B3304">
              <w:rPr>
                <w:noProof/>
                <w:webHidden/>
              </w:rPr>
              <w:fldChar w:fldCharType="begin"/>
            </w:r>
            <w:r w:rsidRPr="001B3304">
              <w:rPr>
                <w:noProof/>
                <w:webHidden/>
              </w:rPr>
              <w:instrText xml:space="preserve"> PAGEREF _Toc134294141 \h </w:instrText>
            </w:r>
            <w:r w:rsidRPr="001B3304">
              <w:rPr>
                <w:noProof/>
                <w:webHidden/>
              </w:rPr>
            </w:r>
            <w:r w:rsidRPr="001B3304">
              <w:rPr>
                <w:noProof/>
                <w:webHidden/>
              </w:rPr>
              <w:fldChar w:fldCharType="separate"/>
            </w:r>
            <w:r w:rsidR="00CC73A9">
              <w:rPr>
                <w:noProof/>
                <w:webHidden/>
              </w:rPr>
              <w:t>63</w:t>
            </w:r>
            <w:r w:rsidRPr="001B3304">
              <w:rPr>
                <w:noProof/>
                <w:webHidden/>
              </w:rPr>
              <w:fldChar w:fldCharType="end"/>
            </w:r>
          </w:hyperlink>
        </w:p>
        <w:p w14:paraId="4A25C5BC" w14:textId="365642CB" w:rsidR="001B3304" w:rsidRPr="001B3304" w:rsidRDefault="001B3304" w:rsidP="00CC73A9">
          <w:pPr>
            <w:pStyle w:val="TOC3"/>
            <w:rPr>
              <w:rFonts w:eastAsiaTheme="minorEastAsia"/>
              <w:noProof/>
              <w:kern w:val="2"/>
              <w:lang w:val="en-CA"/>
              <w14:ligatures w14:val="standardContextual"/>
            </w:rPr>
          </w:pPr>
          <w:hyperlink w:anchor="_Toc134294142" w:history="1">
            <w:r w:rsidRPr="001B3304">
              <w:rPr>
                <w:rStyle w:val="Hyperlink"/>
                <w:rFonts w:ascii="Arial" w:hAnsi="Arial" w:cs="Arial"/>
                <w:noProof/>
                <w:sz w:val="24"/>
                <w:szCs w:val="24"/>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Analyzing the Evidence</w:t>
            </w:r>
            <w:r w:rsidRPr="001B3304">
              <w:rPr>
                <w:noProof/>
                <w:webHidden/>
              </w:rPr>
              <w:tab/>
            </w:r>
            <w:r w:rsidRPr="001B3304">
              <w:rPr>
                <w:noProof/>
                <w:webHidden/>
              </w:rPr>
              <w:fldChar w:fldCharType="begin"/>
            </w:r>
            <w:r w:rsidRPr="001B3304">
              <w:rPr>
                <w:noProof/>
                <w:webHidden/>
              </w:rPr>
              <w:instrText xml:space="preserve"> PAGEREF _Toc134294142 \h </w:instrText>
            </w:r>
            <w:r w:rsidRPr="001B3304">
              <w:rPr>
                <w:noProof/>
                <w:webHidden/>
              </w:rPr>
            </w:r>
            <w:r w:rsidRPr="001B3304">
              <w:rPr>
                <w:noProof/>
                <w:webHidden/>
              </w:rPr>
              <w:fldChar w:fldCharType="separate"/>
            </w:r>
            <w:r w:rsidR="00CC73A9">
              <w:rPr>
                <w:noProof/>
                <w:webHidden/>
              </w:rPr>
              <w:t>65</w:t>
            </w:r>
            <w:r w:rsidRPr="001B3304">
              <w:rPr>
                <w:noProof/>
                <w:webHidden/>
              </w:rPr>
              <w:fldChar w:fldCharType="end"/>
            </w:r>
          </w:hyperlink>
        </w:p>
        <w:p w14:paraId="261F98A3" w14:textId="78854BFA"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43" w:history="1">
            <w:r w:rsidRPr="001B3304">
              <w:rPr>
                <w:rStyle w:val="Hyperlink"/>
                <w:rFonts w:ascii="Arial" w:hAnsi="Arial" w:cs="Arial"/>
                <w:noProof/>
                <w:sz w:val="24"/>
                <w:szCs w:val="24"/>
              </w:rPr>
              <w:t>B.</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Street Racing</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_Toc134294143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66</w:t>
            </w:r>
            <w:r w:rsidRPr="001B3304">
              <w:rPr>
                <w:rFonts w:ascii="Arial" w:hAnsi="Arial" w:cs="Arial"/>
                <w:noProof/>
                <w:webHidden/>
                <w:sz w:val="24"/>
                <w:szCs w:val="24"/>
              </w:rPr>
              <w:fldChar w:fldCharType="end"/>
            </w:r>
          </w:hyperlink>
        </w:p>
        <w:p w14:paraId="252F68CD" w14:textId="74C99BE4" w:rsidR="001B3304" w:rsidRPr="001B3304" w:rsidRDefault="001B3304" w:rsidP="00CC73A9">
          <w:pPr>
            <w:pStyle w:val="TOC2"/>
            <w:spacing w:line="600" w:lineRule="auto"/>
            <w:rPr>
              <w:rStyle w:val="Hyperlink"/>
              <w:rFonts w:ascii="Arial" w:hAnsi="Arial" w:cs="Arial"/>
              <w:noProof/>
              <w:sz w:val="24"/>
              <w:szCs w:val="24"/>
            </w:rPr>
          </w:pPr>
          <w:hyperlink w:anchor="_Toc134294144" w:history="1">
            <w:r w:rsidRPr="001B3304">
              <w:rPr>
                <w:rStyle w:val="Hyperlink"/>
                <w:rFonts w:ascii="Arial" w:hAnsi="Arial" w:cs="Arial"/>
                <w:noProof/>
                <w:sz w:val="24"/>
                <w:szCs w:val="24"/>
              </w:rPr>
              <w:t>C.</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Impaired Driving: s.320.14</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_Toc134294144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67</w:t>
            </w:r>
            <w:r w:rsidRPr="001B3304">
              <w:rPr>
                <w:rFonts w:ascii="Arial" w:hAnsi="Arial" w:cs="Arial"/>
                <w:noProof/>
                <w:webHidden/>
                <w:sz w:val="24"/>
                <w:szCs w:val="24"/>
              </w:rPr>
              <w:fldChar w:fldCharType="end"/>
            </w:r>
          </w:hyperlink>
        </w:p>
        <w:p w14:paraId="4D87852A" w14:textId="77777777" w:rsidR="001B3304" w:rsidRPr="001B3304" w:rsidRDefault="001B3304" w:rsidP="00CC73A9">
          <w:pPr>
            <w:spacing w:line="600" w:lineRule="auto"/>
            <w:rPr>
              <w:rFonts w:ascii="Arial" w:eastAsiaTheme="minorEastAsia" w:hAnsi="Arial" w:cs="Arial"/>
              <w:noProof/>
              <w:lang w:val="en-US"/>
            </w:rPr>
          </w:pPr>
        </w:p>
        <w:p w14:paraId="6EC27E45" w14:textId="294C823D" w:rsidR="001B3304" w:rsidRPr="00CC73A9" w:rsidRDefault="001B3304" w:rsidP="00CC73A9">
          <w:pPr>
            <w:pStyle w:val="TOC1"/>
            <w:spacing w:line="600" w:lineRule="auto"/>
            <w:rPr>
              <w:color w:val="0000FF"/>
              <w:u w:val="single"/>
            </w:rPr>
          </w:pPr>
          <w:hyperlink w:anchor="_Toc134294145" w:history="1">
            <w:r w:rsidRPr="001B3304">
              <w:rPr>
                <w:rStyle w:val="Hyperlink"/>
              </w:rPr>
              <w:t>PART IX: OFFENCES AGAINST RIGHTS OF PROPERTY</w:t>
            </w:r>
            <w:r w:rsidRPr="001B3304">
              <w:rPr>
                <w:webHidden/>
              </w:rPr>
              <w:tab/>
            </w:r>
            <w:r w:rsidRPr="001B3304">
              <w:rPr>
                <w:webHidden/>
              </w:rPr>
              <w:fldChar w:fldCharType="begin"/>
            </w:r>
            <w:r w:rsidRPr="001B3304">
              <w:rPr>
                <w:webHidden/>
              </w:rPr>
              <w:instrText xml:space="preserve"> PAGEREF _Toc134294145 \h </w:instrText>
            </w:r>
            <w:r w:rsidRPr="001B3304">
              <w:rPr>
                <w:webHidden/>
              </w:rPr>
            </w:r>
            <w:r w:rsidRPr="001B3304">
              <w:rPr>
                <w:webHidden/>
              </w:rPr>
              <w:fldChar w:fldCharType="separate"/>
            </w:r>
            <w:r w:rsidR="00CC73A9">
              <w:rPr>
                <w:webHidden/>
              </w:rPr>
              <w:t>67</w:t>
            </w:r>
            <w:r w:rsidRPr="001B3304">
              <w:rPr>
                <w:webHidden/>
              </w:rPr>
              <w:fldChar w:fldCharType="end"/>
            </w:r>
          </w:hyperlink>
        </w:p>
        <w:p w14:paraId="3AADCB57" w14:textId="1C4BAF5D"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46"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Robbery: S.343</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_Toc134294146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67</w:t>
            </w:r>
            <w:r w:rsidRPr="001B3304">
              <w:rPr>
                <w:rFonts w:ascii="Arial" w:hAnsi="Arial" w:cs="Arial"/>
                <w:noProof/>
                <w:webHidden/>
                <w:sz w:val="24"/>
                <w:szCs w:val="24"/>
              </w:rPr>
              <w:fldChar w:fldCharType="end"/>
            </w:r>
          </w:hyperlink>
        </w:p>
        <w:p w14:paraId="385E9AA7" w14:textId="14B74A6C"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47" w:history="1">
            <w:r w:rsidRPr="001B3304">
              <w:rPr>
                <w:rStyle w:val="Hyperlink"/>
                <w:rFonts w:ascii="Arial" w:hAnsi="Arial" w:cs="Arial"/>
                <w:noProof/>
                <w:sz w:val="24"/>
                <w:szCs w:val="24"/>
              </w:rPr>
              <w:t>B.</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False Information / Harrasing communications: s.372</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_Toc134294147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67</w:t>
            </w:r>
            <w:r w:rsidRPr="001B3304">
              <w:rPr>
                <w:rFonts w:ascii="Arial" w:hAnsi="Arial" w:cs="Arial"/>
                <w:noProof/>
                <w:webHidden/>
                <w:sz w:val="24"/>
                <w:szCs w:val="24"/>
              </w:rPr>
              <w:fldChar w:fldCharType="end"/>
            </w:r>
          </w:hyperlink>
        </w:p>
        <w:p w14:paraId="205FCE8A" w14:textId="0C5DED88"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48" w:history="1">
            <w:r w:rsidRPr="001B3304">
              <w:rPr>
                <w:rStyle w:val="Hyperlink"/>
                <w:rFonts w:ascii="Arial" w:hAnsi="Arial" w:cs="Arial"/>
                <w:noProof/>
                <w:sz w:val="24"/>
                <w:szCs w:val="24"/>
              </w:rPr>
              <w:t>C.</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Selling/possessing Counterfeit Mark: s.376(2)(b)</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_Toc134294148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67</w:t>
            </w:r>
            <w:r w:rsidRPr="001B3304">
              <w:rPr>
                <w:rFonts w:ascii="Arial" w:hAnsi="Arial" w:cs="Arial"/>
                <w:noProof/>
                <w:webHidden/>
                <w:sz w:val="24"/>
                <w:szCs w:val="24"/>
              </w:rPr>
              <w:fldChar w:fldCharType="end"/>
            </w:r>
          </w:hyperlink>
        </w:p>
        <w:p w14:paraId="16833DC1" w14:textId="3F08929A"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49" w:history="1">
            <w:r w:rsidRPr="001B3304">
              <w:rPr>
                <w:rStyle w:val="Hyperlink"/>
                <w:rFonts w:ascii="Arial" w:hAnsi="Arial" w:cs="Arial"/>
                <w:noProof/>
                <w:sz w:val="24"/>
                <w:szCs w:val="24"/>
              </w:rPr>
              <w:t>D.</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Criminal Interest Rates: s.347</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_Toc134294149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68</w:t>
            </w:r>
            <w:r w:rsidRPr="001B3304">
              <w:rPr>
                <w:rFonts w:ascii="Arial" w:hAnsi="Arial" w:cs="Arial"/>
                <w:noProof/>
                <w:webHidden/>
                <w:sz w:val="24"/>
                <w:szCs w:val="24"/>
              </w:rPr>
              <w:fldChar w:fldCharType="end"/>
            </w:r>
          </w:hyperlink>
        </w:p>
        <w:p w14:paraId="43E4E2BD" w14:textId="0CCAE19B" w:rsidR="001B3304" w:rsidRPr="001B3304" w:rsidRDefault="001B3304" w:rsidP="00CC73A9">
          <w:pPr>
            <w:pStyle w:val="TOC2"/>
            <w:spacing w:line="600" w:lineRule="auto"/>
            <w:rPr>
              <w:rStyle w:val="Hyperlink"/>
              <w:rFonts w:ascii="Arial" w:hAnsi="Arial" w:cs="Arial"/>
              <w:noProof/>
              <w:sz w:val="24"/>
              <w:szCs w:val="24"/>
            </w:rPr>
          </w:pPr>
          <w:hyperlink w:anchor="_Toc134294150" w:history="1">
            <w:r w:rsidRPr="001B3304">
              <w:rPr>
                <w:rStyle w:val="Hyperlink"/>
                <w:rFonts w:ascii="Arial" w:hAnsi="Arial" w:cs="Arial"/>
                <w:noProof/>
                <w:sz w:val="24"/>
                <w:szCs w:val="24"/>
              </w:rPr>
              <w:t>E.</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Fraud: S.380</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_Toc134294150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69</w:t>
            </w:r>
            <w:r w:rsidRPr="001B3304">
              <w:rPr>
                <w:rFonts w:ascii="Arial" w:hAnsi="Arial" w:cs="Arial"/>
                <w:noProof/>
                <w:webHidden/>
                <w:sz w:val="24"/>
                <w:szCs w:val="24"/>
              </w:rPr>
              <w:fldChar w:fldCharType="end"/>
            </w:r>
          </w:hyperlink>
        </w:p>
        <w:p w14:paraId="788479D4" w14:textId="77777777" w:rsidR="001B3304" w:rsidRPr="001B3304" w:rsidRDefault="001B3304" w:rsidP="00CC73A9">
          <w:pPr>
            <w:spacing w:line="600" w:lineRule="auto"/>
            <w:rPr>
              <w:rFonts w:ascii="Arial" w:eastAsiaTheme="minorEastAsia" w:hAnsi="Arial" w:cs="Arial"/>
              <w:noProof/>
              <w:lang w:val="en-US"/>
            </w:rPr>
          </w:pPr>
        </w:p>
        <w:p w14:paraId="52F4B344" w14:textId="024E8A59" w:rsidR="001B3304" w:rsidRPr="00CC73A9" w:rsidRDefault="001B3304" w:rsidP="00CC73A9">
          <w:pPr>
            <w:pStyle w:val="TOC1"/>
            <w:spacing w:line="600" w:lineRule="auto"/>
            <w:rPr>
              <w:color w:val="0000FF"/>
              <w:u w:val="single"/>
            </w:rPr>
          </w:pPr>
          <w:hyperlink w:anchor="_Toc134294151" w:history="1">
            <w:r w:rsidRPr="001B3304">
              <w:rPr>
                <w:rStyle w:val="Hyperlink"/>
              </w:rPr>
              <w:t>PART XI: WILFUL AND FORBIDDEN ACTS IN RESPECT OF CERTAIN PROPERTY</w:t>
            </w:r>
            <w:r w:rsidRPr="001B3304">
              <w:rPr>
                <w:webHidden/>
              </w:rPr>
              <w:tab/>
            </w:r>
            <w:r w:rsidRPr="001B3304">
              <w:rPr>
                <w:webHidden/>
              </w:rPr>
              <w:fldChar w:fldCharType="begin"/>
            </w:r>
            <w:r w:rsidRPr="001B3304">
              <w:rPr>
                <w:webHidden/>
              </w:rPr>
              <w:instrText xml:space="preserve"> PAGEREF _Toc134294151 \h </w:instrText>
            </w:r>
            <w:r w:rsidRPr="001B3304">
              <w:rPr>
                <w:webHidden/>
              </w:rPr>
            </w:r>
            <w:r w:rsidRPr="001B3304">
              <w:rPr>
                <w:webHidden/>
              </w:rPr>
              <w:fldChar w:fldCharType="separate"/>
            </w:r>
            <w:r w:rsidR="00CC73A9">
              <w:rPr>
                <w:webHidden/>
              </w:rPr>
              <w:t>69</w:t>
            </w:r>
            <w:r w:rsidRPr="001B3304">
              <w:rPr>
                <w:webHidden/>
              </w:rPr>
              <w:fldChar w:fldCharType="end"/>
            </w:r>
          </w:hyperlink>
        </w:p>
        <w:p w14:paraId="7E34E245" w14:textId="0F7B58CB" w:rsidR="001B3304" w:rsidRPr="001B3304" w:rsidRDefault="001B3304" w:rsidP="00CC73A9">
          <w:pPr>
            <w:pStyle w:val="TOC2"/>
            <w:spacing w:line="600" w:lineRule="auto"/>
            <w:rPr>
              <w:rStyle w:val="Hyperlink"/>
              <w:rFonts w:ascii="Arial" w:hAnsi="Arial" w:cs="Arial"/>
              <w:noProof/>
              <w:sz w:val="24"/>
              <w:szCs w:val="24"/>
            </w:rPr>
          </w:pPr>
          <w:hyperlink w:anchor="_Toc134294152"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Arson: s.433</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_Toc134294152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69</w:t>
            </w:r>
            <w:r w:rsidRPr="001B3304">
              <w:rPr>
                <w:rFonts w:ascii="Arial" w:hAnsi="Arial" w:cs="Arial"/>
                <w:noProof/>
                <w:webHidden/>
                <w:sz w:val="24"/>
                <w:szCs w:val="24"/>
              </w:rPr>
              <w:fldChar w:fldCharType="end"/>
            </w:r>
          </w:hyperlink>
        </w:p>
        <w:p w14:paraId="372F5D0E" w14:textId="77777777" w:rsidR="001B3304" w:rsidRPr="001B3304" w:rsidRDefault="001B3304" w:rsidP="00CC73A9">
          <w:pPr>
            <w:spacing w:line="600" w:lineRule="auto"/>
            <w:rPr>
              <w:rFonts w:ascii="Arial" w:eastAsiaTheme="minorEastAsia" w:hAnsi="Arial" w:cs="Arial"/>
              <w:noProof/>
              <w:lang w:val="en-US"/>
            </w:rPr>
          </w:pPr>
        </w:p>
        <w:p w14:paraId="5432BDFD" w14:textId="4390B031" w:rsidR="001B3304" w:rsidRPr="00CC73A9" w:rsidRDefault="001B3304" w:rsidP="00CC73A9">
          <w:pPr>
            <w:pStyle w:val="TOC1"/>
            <w:spacing w:line="600" w:lineRule="auto"/>
            <w:rPr>
              <w:color w:val="0000FF"/>
              <w:u w:val="single"/>
            </w:rPr>
          </w:pPr>
          <w:hyperlink w:anchor="_Toc134294153" w:history="1">
            <w:r w:rsidRPr="001B3304">
              <w:rPr>
                <w:rStyle w:val="Hyperlink"/>
              </w:rPr>
              <w:t>PART XIII: ATTEMPTS, CONSPIRACIES, ACCESSORIES</w:t>
            </w:r>
            <w:r w:rsidRPr="001B3304">
              <w:rPr>
                <w:webHidden/>
              </w:rPr>
              <w:tab/>
            </w:r>
            <w:r w:rsidRPr="001B3304">
              <w:rPr>
                <w:webHidden/>
              </w:rPr>
              <w:fldChar w:fldCharType="begin"/>
            </w:r>
            <w:r w:rsidRPr="001B3304">
              <w:rPr>
                <w:webHidden/>
              </w:rPr>
              <w:instrText xml:space="preserve"> PAGEREF _Toc134294153 \h </w:instrText>
            </w:r>
            <w:r w:rsidRPr="001B3304">
              <w:rPr>
                <w:webHidden/>
              </w:rPr>
            </w:r>
            <w:r w:rsidRPr="001B3304">
              <w:rPr>
                <w:webHidden/>
              </w:rPr>
              <w:fldChar w:fldCharType="separate"/>
            </w:r>
            <w:r w:rsidR="00CC73A9">
              <w:rPr>
                <w:webHidden/>
              </w:rPr>
              <w:t>71</w:t>
            </w:r>
            <w:r w:rsidRPr="001B3304">
              <w:rPr>
                <w:webHidden/>
              </w:rPr>
              <w:fldChar w:fldCharType="end"/>
            </w:r>
          </w:hyperlink>
        </w:p>
        <w:p w14:paraId="2A766ED5" w14:textId="21D22527"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54"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Accessory after the fact: s.463</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_Toc134294154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71</w:t>
            </w:r>
            <w:r w:rsidRPr="001B3304">
              <w:rPr>
                <w:rFonts w:ascii="Arial" w:hAnsi="Arial" w:cs="Arial"/>
                <w:noProof/>
                <w:webHidden/>
                <w:sz w:val="24"/>
                <w:szCs w:val="24"/>
              </w:rPr>
              <w:fldChar w:fldCharType="end"/>
            </w:r>
          </w:hyperlink>
        </w:p>
        <w:p w14:paraId="1C86A305" w14:textId="0488816E"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55" w:history="1">
            <w:r w:rsidRPr="001B3304">
              <w:rPr>
                <w:rStyle w:val="Hyperlink"/>
                <w:rFonts w:ascii="Arial" w:hAnsi="Arial" w:cs="Arial"/>
                <w:noProof/>
                <w:sz w:val="24"/>
                <w:szCs w:val="24"/>
              </w:rPr>
              <w:t>B.</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Attempts: S.463</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_Toc134294155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71</w:t>
            </w:r>
            <w:r w:rsidRPr="001B3304">
              <w:rPr>
                <w:rFonts w:ascii="Arial" w:hAnsi="Arial" w:cs="Arial"/>
                <w:noProof/>
                <w:webHidden/>
                <w:sz w:val="24"/>
                <w:szCs w:val="24"/>
              </w:rPr>
              <w:fldChar w:fldCharType="end"/>
            </w:r>
          </w:hyperlink>
        </w:p>
        <w:p w14:paraId="7428AEC9" w14:textId="5EFC57C8" w:rsidR="001B3304" w:rsidRPr="001B3304" w:rsidRDefault="001B3304" w:rsidP="00CC73A9">
          <w:pPr>
            <w:pStyle w:val="TOC3"/>
            <w:rPr>
              <w:rFonts w:eastAsiaTheme="minorEastAsia"/>
              <w:noProof/>
              <w:kern w:val="2"/>
              <w:lang w:val="en-CA"/>
              <w14:ligatures w14:val="standardContextual"/>
            </w:rPr>
          </w:pPr>
          <w:hyperlink w:anchor="_Toc134294156"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Actus Reus</w:t>
            </w:r>
            <w:r w:rsidRPr="001B3304">
              <w:rPr>
                <w:noProof/>
                <w:webHidden/>
              </w:rPr>
              <w:tab/>
            </w:r>
            <w:r w:rsidRPr="001B3304">
              <w:rPr>
                <w:noProof/>
                <w:webHidden/>
              </w:rPr>
              <w:fldChar w:fldCharType="begin"/>
            </w:r>
            <w:r w:rsidRPr="001B3304">
              <w:rPr>
                <w:noProof/>
                <w:webHidden/>
              </w:rPr>
              <w:instrText xml:space="preserve"> PAGEREF _Toc134294156 \h </w:instrText>
            </w:r>
            <w:r w:rsidRPr="001B3304">
              <w:rPr>
                <w:noProof/>
                <w:webHidden/>
              </w:rPr>
            </w:r>
            <w:r w:rsidRPr="001B3304">
              <w:rPr>
                <w:noProof/>
                <w:webHidden/>
              </w:rPr>
              <w:fldChar w:fldCharType="separate"/>
            </w:r>
            <w:r w:rsidR="00CC73A9">
              <w:rPr>
                <w:noProof/>
                <w:webHidden/>
              </w:rPr>
              <w:t>71</w:t>
            </w:r>
            <w:r w:rsidRPr="001B3304">
              <w:rPr>
                <w:noProof/>
                <w:webHidden/>
              </w:rPr>
              <w:fldChar w:fldCharType="end"/>
            </w:r>
          </w:hyperlink>
        </w:p>
        <w:p w14:paraId="57C64928" w14:textId="1F2F878F" w:rsidR="001B3304" w:rsidRPr="001B3304" w:rsidRDefault="001B3304" w:rsidP="00CC73A9">
          <w:pPr>
            <w:pStyle w:val="TOC3"/>
            <w:rPr>
              <w:rFonts w:eastAsiaTheme="minorEastAsia"/>
              <w:noProof/>
              <w:kern w:val="2"/>
              <w:lang w:val="en-CA"/>
              <w14:ligatures w14:val="standardContextual"/>
            </w:rPr>
          </w:pPr>
          <w:hyperlink w:anchor="_Toc134294157"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Mens Rea</w:t>
            </w:r>
            <w:r w:rsidRPr="001B3304">
              <w:rPr>
                <w:noProof/>
                <w:webHidden/>
              </w:rPr>
              <w:tab/>
            </w:r>
            <w:r w:rsidRPr="001B3304">
              <w:rPr>
                <w:noProof/>
                <w:webHidden/>
              </w:rPr>
              <w:fldChar w:fldCharType="begin"/>
            </w:r>
            <w:r w:rsidRPr="001B3304">
              <w:rPr>
                <w:noProof/>
                <w:webHidden/>
              </w:rPr>
              <w:instrText xml:space="preserve"> PAGEREF _Toc134294157 \h </w:instrText>
            </w:r>
            <w:r w:rsidRPr="001B3304">
              <w:rPr>
                <w:noProof/>
                <w:webHidden/>
              </w:rPr>
            </w:r>
            <w:r w:rsidRPr="001B3304">
              <w:rPr>
                <w:noProof/>
                <w:webHidden/>
              </w:rPr>
              <w:fldChar w:fldCharType="separate"/>
            </w:r>
            <w:r w:rsidR="00CC73A9">
              <w:rPr>
                <w:noProof/>
                <w:webHidden/>
              </w:rPr>
              <w:t>72</w:t>
            </w:r>
            <w:r w:rsidRPr="001B3304">
              <w:rPr>
                <w:noProof/>
                <w:webHidden/>
              </w:rPr>
              <w:fldChar w:fldCharType="end"/>
            </w:r>
          </w:hyperlink>
        </w:p>
        <w:p w14:paraId="6CF17259" w14:textId="5716D8B8"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58" w:history="1">
            <w:r w:rsidRPr="001B3304">
              <w:rPr>
                <w:rStyle w:val="Hyperlink"/>
                <w:rFonts w:ascii="Arial" w:hAnsi="Arial" w:cs="Arial"/>
                <w:noProof/>
                <w:sz w:val="24"/>
                <w:szCs w:val="24"/>
              </w:rPr>
              <w:t>C.</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​Conspiracy: S.465(1)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_Toc134294158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72</w:t>
            </w:r>
            <w:r w:rsidRPr="001B3304">
              <w:rPr>
                <w:rFonts w:ascii="Arial" w:hAnsi="Arial" w:cs="Arial"/>
                <w:noProof/>
                <w:webHidden/>
                <w:sz w:val="24"/>
                <w:szCs w:val="24"/>
              </w:rPr>
              <w:fldChar w:fldCharType="end"/>
            </w:r>
          </w:hyperlink>
        </w:p>
        <w:p w14:paraId="05BCB2FA" w14:textId="6300344F" w:rsidR="001B3304" w:rsidRPr="001B3304" w:rsidRDefault="001B3304" w:rsidP="00CC73A9">
          <w:pPr>
            <w:pStyle w:val="TOC3"/>
            <w:rPr>
              <w:rFonts w:eastAsiaTheme="minorEastAsia"/>
              <w:noProof/>
              <w:kern w:val="2"/>
              <w:lang w:val="en-CA"/>
              <w14:ligatures w14:val="standardContextual"/>
            </w:rPr>
          </w:pPr>
          <w:hyperlink w:anchor="_Toc134294159"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General Principles</w:t>
            </w:r>
            <w:r w:rsidRPr="001B3304">
              <w:rPr>
                <w:noProof/>
                <w:webHidden/>
              </w:rPr>
              <w:tab/>
            </w:r>
            <w:r w:rsidRPr="001B3304">
              <w:rPr>
                <w:noProof/>
                <w:webHidden/>
              </w:rPr>
              <w:fldChar w:fldCharType="begin"/>
            </w:r>
            <w:r w:rsidRPr="001B3304">
              <w:rPr>
                <w:noProof/>
                <w:webHidden/>
              </w:rPr>
              <w:instrText xml:space="preserve"> PAGEREF _Toc134294159 \h </w:instrText>
            </w:r>
            <w:r w:rsidRPr="001B3304">
              <w:rPr>
                <w:noProof/>
                <w:webHidden/>
              </w:rPr>
            </w:r>
            <w:r w:rsidRPr="001B3304">
              <w:rPr>
                <w:noProof/>
                <w:webHidden/>
              </w:rPr>
              <w:fldChar w:fldCharType="separate"/>
            </w:r>
            <w:r w:rsidR="00CC73A9">
              <w:rPr>
                <w:noProof/>
                <w:webHidden/>
              </w:rPr>
              <w:t>72</w:t>
            </w:r>
            <w:r w:rsidRPr="001B3304">
              <w:rPr>
                <w:noProof/>
                <w:webHidden/>
              </w:rPr>
              <w:fldChar w:fldCharType="end"/>
            </w:r>
          </w:hyperlink>
        </w:p>
        <w:p w14:paraId="332AD100" w14:textId="4CA36E56" w:rsidR="001B3304" w:rsidRPr="001B3304" w:rsidRDefault="001B3304" w:rsidP="00CC73A9">
          <w:pPr>
            <w:pStyle w:val="TOC3"/>
            <w:rPr>
              <w:rFonts w:eastAsiaTheme="minorEastAsia"/>
              <w:noProof/>
              <w:kern w:val="2"/>
              <w:lang w:val="en-CA"/>
              <w14:ligatures w14:val="standardContextual"/>
            </w:rPr>
          </w:pPr>
          <w:hyperlink w:anchor="_Toc134294160"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Actus Reus</w:t>
            </w:r>
            <w:r w:rsidRPr="001B3304">
              <w:rPr>
                <w:noProof/>
                <w:webHidden/>
              </w:rPr>
              <w:tab/>
            </w:r>
            <w:r w:rsidRPr="001B3304">
              <w:rPr>
                <w:noProof/>
                <w:webHidden/>
              </w:rPr>
              <w:fldChar w:fldCharType="begin"/>
            </w:r>
            <w:r w:rsidRPr="001B3304">
              <w:rPr>
                <w:noProof/>
                <w:webHidden/>
              </w:rPr>
              <w:instrText xml:space="preserve"> PAGEREF _Toc134294160 \h </w:instrText>
            </w:r>
            <w:r w:rsidRPr="001B3304">
              <w:rPr>
                <w:noProof/>
                <w:webHidden/>
              </w:rPr>
            </w:r>
            <w:r w:rsidRPr="001B3304">
              <w:rPr>
                <w:noProof/>
                <w:webHidden/>
              </w:rPr>
              <w:fldChar w:fldCharType="separate"/>
            </w:r>
            <w:r w:rsidR="00CC73A9">
              <w:rPr>
                <w:noProof/>
                <w:webHidden/>
              </w:rPr>
              <w:t>72</w:t>
            </w:r>
            <w:r w:rsidRPr="001B3304">
              <w:rPr>
                <w:noProof/>
                <w:webHidden/>
              </w:rPr>
              <w:fldChar w:fldCharType="end"/>
            </w:r>
          </w:hyperlink>
        </w:p>
        <w:p w14:paraId="0CA0BEFA" w14:textId="2CE4F3F5" w:rsidR="001B3304" w:rsidRPr="001B3304" w:rsidRDefault="001B3304" w:rsidP="00CC73A9">
          <w:pPr>
            <w:pStyle w:val="TOC3"/>
            <w:rPr>
              <w:rFonts w:eastAsiaTheme="minorEastAsia"/>
              <w:noProof/>
              <w:kern w:val="2"/>
              <w:lang w:val="en-CA"/>
              <w14:ligatures w14:val="standardContextual"/>
            </w:rPr>
          </w:pPr>
          <w:hyperlink w:anchor="_Toc134294161" w:history="1">
            <w:r w:rsidRPr="001B3304">
              <w:rPr>
                <w:rStyle w:val="Hyperlink"/>
                <w:rFonts w:ascii="Arial" w:hAnsi="Arial" w:cs="Arial"/>
                <w:noProof/>
                <w:sz w:val="24"/>
                <w:szCs w:val="24"/>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Party Liability to a Conspiracy</w:t>
            </w:r>
            <w:r w:rsidRPr="001B3304">
              <w:rPr>
                <w:noProof/>
                <w:webHidden/>
              </w:rPr>
              <w:tab/>
            </w:r>
            <w:r w:rsidRPr="001B3304">
              <w:rPr>
                <w:noProof/>
                <w:webHidden/>
              </w:rPr>
              <w:fldChar w:fldCharType="begin"/>
            </w:r>
            <w:r w:rsidRPr="001B3304">
              <w:rPr>
                <w:noProof/>
                <w:webHidden/>
              </w:rPr>
              <w:instrText xml:space="preserve"> PAGEREF _Toc134294161 \h </w:instrText>
            </w:r>
            <w:r w:rsidRPr="001B3304">
              <w:rPr>
                <w:noProof/>
                <w:webHidden/>
              </w:rPr>
            </w:r>
            <w:r w:rsidRPr="001B3304">
              <w:rPr>
                <w:noProof/>
                <w:webHidden/>
              </w:rPr>
              <w:fldChar w:fldCharType="separate"/>
            </w:r>
            <w:r w:rsidR="00CC73A9">
              <w:rPr>
                <w:noProof/>
                <w:webHidden/>
              </w:rPr>
              <w:t>73</w:t>
            </w:r>
            <w:r w:rsidRPr="001B3304">
              <w:rPr>
                <w:noProof/>
                <w:webHidden/>
              </w:rPr>
              <w:fldChar w:fldCharType="end"/>
            </w:r>
          </w:hyperlink>
        </w:p>
        <w:p w14:paraId="0DCB255C" w14:textId="683D333B" w:rsidR="001B3304" w:rsidRPr="001B3304" w:rsidRDefault="001B3304" w:rsidP="00CC73A9">
          <w:pPr>
            <w:pStyle w:val="TOC3"/>
            <w:rPr>
              <w:rFonts w:eastAsiaTheme="minorEastAsia"/>
              <w:noProof/>
              <w:kern w:val="2"/>
              <w:lang w:val="en-CA"/>
              <w14:ligatures w14:val="standardContextual"/>
            </w:rPr>
          </w:pPr>
          <w:hyperlink w:anchor="_Toc134294162" w:history="1">
            <w:r w:rsidRPr="001B3304">
              <w:rPr>
                <w:rStyle w:val="Hyperlink"/>
                <w:rFonts w:ascii="Arial" w:hAnsi="Arial" w:cs="Arial"/>
                <w:noProof/>
                <w:sz w:val="24"/>
                <w:szCs w:val="24"/>
              </w:rPr>
              <w:t>iv.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Evidentiary Issues</w:t>
            </w:r>
            <w:r w:rsidRPr="001B3304">
              <w:rPr>
                <w:noProof/>
                <w:webHidden/>
              </w:rPr>
              <w:tab/>
            </w:r>
            <w:r w:rsidRPr="001B3304">
              <w:rPr>
                <w:noProof/>
                <w:webHidden/>
              </w:rPr>
              <w:fldChar w:fldCharType="begin"/>
            </w:r>
            <w:r w:rsidRPr="001B3304">
              <w:rPr>
                <w:noProof/>
                <w:webHidden/>
              </w:rPr>
              <w:instrText xml:space="preserve"> PAGEREF _Toc134294162 \h </w:instrText>
            </w:r>
            <w:r w:rsidRPr="001B3304">
              <w:rPr>
                <w:noProof/>
                <w:webHidden/>
              </w:rPr>
            </w:r>
            <w:r w:rsidRPr="001B3304">
              <w:rPr>
                <w:noProof/>
                <w:webHidden/>
              </w:rPr>
              <w:fldChar w:fldCharType="separate"/>
            </w:r>
            <w:r w:rsidR="00CC73A9">
              <w:rPr>
                <w:noProof/>
                <w:webHidden/>
              </w:rPr>
              <w:t>73</w:t>
            </w:r>
            <w:r w:rsidRPr="001B3304">
              <w:rPr>
                <w:noProof/>
                <w:webHidden/>
              </w:rPr>
              <w:fldChar w:fldCharType="end"/>
            </w:r>
          </w:hyperlink>
        </w:p>
        <w:p w14:paraId="4564F82A" w14:textId="3F9C13F6"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63" w:history="1">
            <w:r w:rsidRPr="001B3304">
              <w:rPr>
                <w:rStyle w:val="Hyperlink"/>
                <w:rFonts w:ascii="Arial" w:hAnsi="Arial" w:cs="Arial"/>
                <w:noProof/>
                <w:sz w:val="24"/>
                <w:szCs w:val="24"/>
              </w:rPr>
              <w:t>D.</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Criminal organization: s.467.1(1)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_Toc134294163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73</w:t>
            </w:r>
            <w:r w:rsidRPr="001B3304">
              <w:rPr>
                <w:rFonts w:ascii="Arial" w:hAnsi="Arial" w:cs="Arial"/>
                <w:noProof/>
                <w:webHidden/>
                <w:sz w:val="24"/>
                <w:szCs w:val="24"/>
              </w:rPr>
              <w:fldChar w:fldCharType="end"/>
            </w:r>
          </w:hyperlink>
        </w:p>
        <w:p w14:paraId="4D913082" w14:textId="366462FA" w:rsidR="001B3304" w:rsidRPr="001B3304" w:rsidRDefault="001B3304" w:rsidP="00CC73A9">
          <w:pPr>
            <w:pStyle w:val="TOC3"/>
            <w:rPr>
              <w:rStyle w:val="Hyperlink"/>
              <w:rFonts w:ascii="Arial" w:hAnsi="Arial" w:cs="Arial"/>
              <w:noProof/>
              <w:sz w:val="24"/>
              <w:szCs w:val="24"/>
            </w:rPr>
          </w:pPr>
          <w:hyperlink w:anchor="_Toc134294164" w:history="1">
            <w:r w:rsidRPr="001B3304">
              <w:rPr>
                <w:rStyle w:val="Hyperlink"/>
                <w:rFonts w:ascii="Arial" w:hAnsi="Arial" w:cs="Arial"/>
                <w:noProof/>
                <w:sz w:val="24"/>
                <w:szCs w:val="24"/>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General Principles</w:t>
            </w:r>
            <w:r w:rsidRPr="001B3304">
              <w:rPr>
                <w:noProof/>
                <w:webHidden/>
              </w:rPr>
              <w:tab/>
            </w:r>
            <w:r w:rsidRPr="001B3304">
              <w:rPr>
                <w:noProof/>
                <w:webHidden/>
              </w:rPr>
              <w:fldChar w:fldCharType="begin"/>
            </w:r>
            <w:r w:rsidRPr="001B3304">
              <w:rPr>
                <w:noProof/>
                <w:webHidden/>
              </w:rPr>
              <w:instrText xml:space="preserve"> PAGEREF _Toc134294164 \h </w:instrText>
            </w:r>
            <w:r w:rsidRPr="001B3304">
              <w:rPr>
                <w:noProof/>
                <w:webHidden/>
              </w:rPr>
            </w:r>
            <w:r w:rsidRPr="001B3304">
              <w:rPr>
                <w:noProof/>
                <w:webHidden/>
              </w:rPr>
              <w:fldChar w:fldCharType="separate"/>
            </w:r>
            <w:r w:rsidR="00CC73A9">
              <w:rPr>
                <w:noProof/>
                <w:webHidden/>
              </w:rPr>
              <w:t>74</w:t>
            </w:r>
            <w:r w:rsidRPr="001B3304">
              <w:rPr>
                <w:noProof/>
                <w:webHidden/>
              </w:rPr>
              <w:fldChar w:fldCharType="end"/>
            </w:r>
          </w:hyperlink>
        </w:p>
        <w:p w14:paraId="198CF7B1" w14:textId="77777777" w:rsidR="001B3304" w:rsidRPr="001B3304" w:rsidRDefault="001B3304" w:rsidP="00CC73A9">
          <w:pPr>
            <w:spacing w:line="600" w:lineRule="auto"/>
            <w:rPr>
              <w:rFonts w:ascii="Arial" w:eastAsiaTheme="minorEastAsia" w:hAnsi="Arial" w:cs="Arial"/>
              <w:noProof/>
              <w:lang w:val="en-US"/>
            </w:rPr>
          </w:pPr>
        </w:p>
        <w:p w14:paraId="38FA04A9" w14:textId="63BD23F6" w:rsidR="001B3304" w:rsidRPr="00CC73A9" w:rsidRDefault="001B3304" w:rsidP="00CC73A9">
          <w:pPr>
            <w:pStyle w:val="TOC1"/>
            <w:spacing w:line="600" w:lineRule="auto"/>
            <w:rPr>
              <w:color w:val="0000FF"/>
              <w:u w:val="single"/>
            </w:rPr>
          </w:pPr>
          <w:hyperlink w:anchor="_Toc134294165" w:history="1">
            <w:r w:rsidRPr="001B3304">
              <w:rPr>
                <w:rStyle w:val="Hyperlink"/>
              </w:rPr>
              <w:t>PART XXII: PROCURING ATTENDANCE</w:t>
            </w:r>
            <w:r w:rsidRPr="001B3304">
              <w:rPr>
                <w:webHidden/>
              </w:rPr>
              <w:tab/>
            </w:r>
            <w:r w:rsidRPr="001B3304">
              <w:rPr>
                <w:webHidden/>
              </w:rPr>
              <w:fldChar w:fldCharType="begin"/>
            </w:r>
            <w:r w:rsidRPr="001B3304">
              <w:rPr>
                <w:webHidden/>
              </w:rPr>
              <w:instrText xml:space="preserve"> PAGEREF _Toc134294165 \h </w:instrText>
            </w:r>
            <w:r w:rsidRPr="001B3304">
              <w:rPr>
                <w:webHidden/>
              </w:rPr>
            </w:r>
            <w:r w:rsidRPr="001B3304">
              <w:rPr>
                <w:webHidden/>
              </w:rPr>
              <w:fldChar w:fldCharType="separate"/>
            </w:r>
            <w:r w:rsidR="00CC73A9">
              <w:rPr>
                <w:webHidden/>
              </w:rPr>
              <w:t>75</w:t>
            </w:r>
            <w:r w:rsidRPr="001B3304">
              <w:rPr>
                <w:webHidden/>
              </w:rPr>
              <w:fldChar w:fldCharType="end"/>
            </w:r>
          </w:hyperlink>
        </w:p>
        <w:p w14:paraId="2B6A7CDF" w14:textId="6F015DC4" w:rsidR="001B3304" w:rsidRPr="001B3304" w:rsidRDefault="001B3304" w:rsidP="00CC73A9">
          <w:pPr>
            <w:pStyle w:val="TOC2"/>
            <w:spacing w:line="600" w:lineRule="auto"/>
            <w:rPr>
              <w:rStyle w:val="Hyperlink"/>
              <w:rFonts w:ascii="Arial" w:hAnsi="Arial" w:cs="Arial"/>
              <w:noProof/>
              <w:sz w:val="24"/>
              <w:szCs w:val="24"/>
            </w:rPr>
          </w:pPr>
          <w:hyperlink w:anchor="_Toc134294166"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Contempt of Court: s.708(1)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_Toc134294166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75</w:t>
            </w:r>
            <w:r w:rsidRPr="001B3304">
              <w:rPr>
                <w:rFonts w:ascii="Arial" w:hAnsi="Arial" w:cs="Arial"/>
                <w:noProof/>
                <w:webHidden/>
                <w:sz w:val="24"/>
                <w:szCs w:val="24"/>
              </w:rPr>
              <w:fldChar w:fldCharType="end"/>
            </w:r>
          </w:hyperlink>
        </w:p>
        <w:p w14:paraId="6DF202D7" w14:textId="77777777" w:rsidR="001B3304" w:rsidRPr="001B3304" w:rsidRDefault="001B3304" w:rsidP="00CC73A9">
          <w:pPr>
            <w:spacing w:line="600" w:lineRule="auto"/>
            <w:rPr>
              <w:rFonts w:ascii="Arial" w:eastAsiaTheme="minorEastAsia" w:hAnsi="Arial" w:cs="Arial"/>
              <w:noProof/>
              <w:lang w:val="en-US"/>
            </w:rPr>
          </w:pPr>
        </w:p>
        <w:p w14:paraId="2ADE0EB2" w14:textId="4D0E954A" w:rsidR="001B3304" w:rsidRPr="00CC73A9" w:rsidRDefault="001B3304" w:rsidP="00CC73A9">
          <w:pPr>
            <w:pStyle w:val="TOC1"/>
            <w:spacing w:line="600" w:lineRule="auto"/>
            <w:rPr>
              <w:color w:val="0000FF"/>
              <w:u w:val="single"/>
            </w:rPr>
          </w:pPr>
          <w:hyperlink w:anchor="_Toc134294167" w:history="1">
            <w:r w:rsidRPr="001B3304">
              <w:rPr>
                <w:rStyle w:val="Hyperlink"/>
              </w:rPr>
              <w:t>PART XXIII: SENTENCING</w:t>
            </w:r>
            <w:r w:rsidRPr="001B3304">
              <w:rPr>
                <w:webHidden/>
              </w:rPr>
              <w:tab/>
            </w:r>
            <w:r w:rsidRPr="001B3304">
              <w:rPr>
                <w:webHidden/>
              </w:rPr>
              <w:fldChar w:fldCharType="begin"/>
            </w:r>
            <w:r w:rsidRPr="001B3304">
              <w:rPr>
                <w:webHidden/>
              </w:rPr>
              <w:instrText xml:space="preserve"> PAGEREF _Toc134294167 \h </w:instrText>
            </w:r>
            <w:r w:rsidRPr="001B3304">
              <w:rPr>
                <w:webHidden/>
              </w:rPr>
            </w:r>
            <w:r w:rsidRPr="001B3304">
              <w:rPr>
                <w:webHidden/>
              </w:rPr>
              <w:fldChar w:fldCharType="separate"/>
            </w:r>
            <w:r w:rsidR="00CC73A9">
              <w:rPr>
                <w:webHidden/>
              </w:rPr>
              <w:t>75</w:t>
            </w:r>
            <w:r w:rsidRPr="001B3304">
              <w:rPr>
                <w:webHidden/>
              </w:rPr>
              <w:fldChar w:fldCharType="end"/>
            </w:r>
          </w:hyperlink>
        </w:p>
        <w:p w14:paraId="118EE91F" w14:textId="73053450" w:rsidR="001B3304" w:rsidRPr="001B3304" w:rsidRDefault="001B3304" w:rsidP="00CC73A9">
          <w:pPr>
            <w:pStyle w:val="TOC2"/>
            <w:spacing w:line="600" w:lineRule="auto"/>
            <w:rPr>
              <w:rStyle w:val="Hyperlink"/>
              <w:rFonts w:ascii="Arial" w:hAnsi="Arial" w:cs="Arial"/>
              <w:noProof/>
              <w:sz w:val="24"/>
              <w:szCs w:val="24"/>
            </w:rPr>
          </w:pPr>
          <w:hyperlink w:anchor="_Toc134294168"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Breach of Probation: S. 733.1</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_Toc134294168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75</w:t>
            </w:r>
            <w:r w:rsidRPr="001B3304">
              <w:rPr>
                <w:rFonts w:ascii="Arial" w:hAnsi="Arial" w:cs="Arial"/>
                <w:noProof/>
                <w:webHidden/>
                <w:sz w:val="24"/>
                <w:szCs w:val="24"/>
              </w:rPr>
              <w:fldChar w:fldCharType="end"/>
            </w:r>
          </w:hyperlink>
        </w:p>
        <w:p w14:paraId="5E45F29B" w14:textId="77777777" w:rsidR="001B3304" w:rsidRPr="001B3304" w:rsidRDefault="001B3304" w:rsidP="00CC73A9">
          <w:pPr>
            <w:spacing w:line="600" w:lineRule="auto"/>
            <w:rPr>
              <w:rFonts w:ascii="Arial" w:eastAsiaTheme="minorEastAsia" w:hAnsi="Arial" w:cs="Arial"/>
              <w:noProof/>
              <w:lang w:val="en-US"/>
            </w:rPr>
          </w:pPr>
        </w:p>
        <w:p w14:paraId="0C585FD6" w14:textId="180543FA" w:rsidR="001B3304" w:rsidRPr="00CC73A9" w:rsidRDefault="001B3304" w:rsidP="00CC73A9">
          <w:pPr>
            <w:pStyle w:val="TOC1"/>
            <w:spacing w:line="600" w:lineRule="auto"/>
            <w:rPr>
              <w:color w:val="0000FF"/>
              <w:u w:val="single"/>
            </w:rPr>
          </w:pPr>
          <w:hyperlink w:anchor="_Toc134294169" w:history="1">
            <w:r w:rsidRPr="001B3304">
              <w:rPr>
                <w:rStyle w:val="Hyperlink"/>
              </w:rPr>
              <w:t>CONTROLLED DRUGS AND SUBSTANCES ACT</w:t>
            </w:r>
            <w:r w:rsidRPr="001B3304">
              <w:rPr>
                <w:webHidden/>
              </w:rPr>
              <w:tab/>
            </w:r>
            <w:r w:rsidRPr="001B3304">
              <w:rPr>
                <w:webHidden/>
              </w:rPr>
              <w:fldChar w:fldCharType="begin"/>
            </w:r>
            <w:r w:rsidRPr="001B3304">
              <w:rPr>
                <w:webHidden/>
              </w:rPr>
              <w:instrText xml:space="preserve"> PAGEREF _Toc134294169 \h </w:instrText>
            </w:r>
            <w:r w:rsidRPr="001B3304">
              <w:rPr>
                <w:webHidden/>
              </w:rPr>
            </w:r>
            <w:r w:rsidRPr="001B3304">
              <w:rPr>
                <w:webHidden/>
              </w:rPr>
              <w:fldChar w:fldCharType="separate"/>
            </w:r>
            <w:r w:rsidR="00CC73A9">
              <w:rPr>
                <w:webHidden/>
              </w:rPr>
              <w:t>76</w:t>
            </w:r>
            <w:r w:rsidRPr="001B3304">
              <w:rPr>
                <w:webHidden/>
              </w:rPr>
              <w:fldChar w:fldCharType="end"/>
            </w:r>
          </w:hyperlink>
        </w:p>
        <w:p w14:paraId="250535BD" w14:textId="2C62188C"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70"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Possession - General Principles</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_Toc134294170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76</w:t>
            </w:r>
            <w:r w:rsidRPr="001B3304">
              <w:rPr>
                <w:rFonts w:ascii="Arial" w:hAnsi="Arial" w:cs="Arial"/>
                <w:noProof/>
                <w:webHidden/>
                <w:sz w:val="24"/>
                <w:szCs w:val="24"/>
              </w:rPr>
              <w:fldChar w:fldCharType="end"/>
            </w:r>
          </w:hyperlink>
        </w:p>
        <w:p w14:paraId="53EB6C60" w14:textId="266A7A70" w:rsidR="001B3304" w:rsidRPr="001B3304" w:rsidRDefault="001B3304" w:rsidP="00CC73A9">
          <w:pPr>
            <w:pStyle w:val="TOC3"/>
            <w:rPr>
              <w:rFonts w:eastAsiaTheme="minorEastAsia"/>
              <w:noProof/>
              <w:kern w:val="2"/>
              <w:lang w:val="en-CA"/>
              <w14:ligatures w14:val="standardContextual"/>
            </w:rPr>
          </w:pPr>
          <w:hyperlink w:anchor="_Toc134294171" w:history="1">
            <w:r w:rsidRPr="001B3304">
              <w:rPr>
                <w:rStyle w:val="Hyperlink"/>
                <w:rFonts w:ascii="Arial" w:hAnsi="Arial" w:cs="Arial"/>
                <w:noProof/>
                <w:sz w:val="24"/>
                <w:szCs w:val="24"/>
                <w14:scene3d>
                  <w14:camera w14:prst="orthographicFront"/>
                  <w14:lightRig w14:rig="threePt" w14:dir="t">
                    <w14:rot w14:lat="0" w14:lon="0" w14:rev="0"/>
                  </w14:lightRig>
                </w14:scene3d>
              </w:rPr>
              <w:t>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Exemption for Medical or Scientific Purposes: s. 55</w:t>
            </w:r>
            <w:r w:rsidR="00CC73A9">
              <w:rPr>
                <w:rStyle w:val="Hyperlink"/>
                <w:rFonts w:ascii="Arial" w:hAnsi="Arial" w:cs="Arial"/>
                <w:noProof/>
                <w:sz w:val="24"/>
                <w:szCs w:val="24"/>
              </w:rPr>
              <w:t xml:space="preserve">, </w:t>
            </w:r>
            <w:r w:rsidRPr="001B3304">
              <w:rPr>
                <w:rStyle w:val="Hyperlink"/>
                <w:rFonts w:ascii="Arial" w:hAnsi="Arial" w:cs="Arial"/>
                <w:noProof/>
                <w:sz w:val="24"/>
                <w:szCs w:val="24"/>
              </w:rPr>
              <w:t>56 of the CDSA</w:t>
            </w:r>
            <w:r w:rsidRPr="001B3304">
              <w:rPr>
                <w:noProof/>
                <w:webHidden/>
              </w:rPr>
              <w:tab/>
            </w:r>
            <w:r w:rsidRPr="001B3304">
              <w:rPr>
                <w:noProof/>
                <w:webHidden/>
              </w:rPr>
              <w:fldChar w:fldCharType="begin"/>
            </w:r>
            <w:r w:rsidRPr="001B3304">
              <w:rPr>
                <w:noProof/>
                <w:webHidden/>
              </w:rPr>
              <w:instrText xml:space="preserve"> PAGEREF _Toc134294171 \h </w:instrText>
            </w:r>
            <w:r w:rsidRPr="001B3304">
              <w:rPr>
                <w:noProof/>
                <w:webHidden/>
              </w:rPr>
            </w:r>
            <w:r w:rsidRPr="001B3304">
              <w:rPr>
                <w:noProof/>
                <w:webHidden/>
              </w:rPr>
              <w:fldChar w:fldCharType="separate"/>
            </w:r>
            <w:r w:rsidR="00CC73A9">
              <w:rPr>
                <w:noProof/>
                <w:webHidden/>
              </w:rPr>
              <w:t>78</w:t>
            </w:r>
            <w:r w:rsidRPr="001B3304">
              <w:rPr>
                <w:noProof/>
                <w:webHidden/>
              </w:rPr>
              <w:fldChar w:fldCharType="end"/>
            </w:r>
          </w:hyperlink>
        </w:p>
        <w:p w14:paraId="09A97B1E" w14:textId="22F67ABF" w:rsidR="001B3304" w:rsidRPr="001B3304" w:rsidRDefault="001B3304" w:rsidP="00CC73A9">
          <w:pPr>
            <w:pStyle w:val="TOC3"/>
            <w:rPr>
              <w:rFonts w:eastAsiaTheme="minorEastAsia"/>
              <w:noProof/>
              <w:kern w:val="2"/>
              <w:lang w:val="en-CA"/>
              <w14:ligatures w14:val="standardContextual"/>
            </w:rPr>
          </w:pPr>
          <w:hyperlink w:anchor="_Toc134294172" w:history="1">
            <w:r w:rsidRPr="001B3304">
              <w:rPr>
                <w:rStyle w:val="Hyperlink"/>
                <w:rFonts w:ascii="Arial" w:hAnsi="Arial" w:cs="Arial"/>
                <w:noProof/>
                <w:sz w:val="24"/>
                <w:szCs w:val="24"/>
              </w:rPr>
              <w:t>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Exemption for licensing</w:t>
            </w:r>
            <w:r w:rsidRPr="001B3304">
              <w:rPr>
                <w:noProof/>
                <w:webHidden/>
              </w:rPr>
              <w:tab/>
            </w:r>
            <w:r w:rsidRPr="001B3304">
              <w:rPr>
                <w:noProof/>
                <w:webHidden/>
              </w:rPr>
              <w:fldChar w:fldCharType="begin"/>
            </w:r>
            <w:r w:rsidRPr="001B3304">
              <w:rPr>
                <w:noProof/>
                <w:webHidden/>
              </w:rPr>
              <w:instrText xml:space="preserve"> PAGEREF _Toc134294172 \h </w:instrText>
            </w:r>
            <w:r w:rsidRPr="001B3304">
              <w:rPr>
                <w:noProof/>
                <w:webHidden/>
              </w:rPr>
            </w:r>
            <w:r w:rsidRPr="001B3304">
              <w:rPr>
                <w:noProof/>
                <w:webHidden/>
              </w:rPr>
              <w:fldChar w:fldCharType="separate"/>
            </w:r>
            <w:r w:rsidR="00CC73A9">
              <w:rPr>
                <w:noProof/>
                <w:webHidden/>
              </w:rPr>
              <w:t>78</w:t>
            </w:r>
            <w:r w:rsidRPr="001B3304">
              <w:rPr>
                <w:noProof/>
                <w:webHidden/>
              </w:rPr>
              <w:fldChar w:fldCharType="end"/>
            </w:r>
          </w:hyperlink>
        </w:p>
        <w:p w14:paraId="45E4D204" w14:textId="1221A857" w:rsidR="001B3304" w:rsidRPr="001B3304" w:rsidRDefault="001B3304" w:rsidP="00CC73A9">
          <w:pPr>
            <w:pStyle w:val="TOC3"/>
            <w:rPr>
              <w:rFonts w:eastAsiaTheme="minorEastAsia"/>
              <w:noProof/>
              <w:kern w:val="2"/>
              <w:lang w:val="en-CA"/>
              <w14:ligatures w14:val="standardContextual"/>
            </w:rPr>
          </w:pPr>
          <w:hyperlink w:anchor="_Toc134294173" w:history="1">
            <w:r w:rsidRPr="001B3304">
              <w:rPr>
                <w:rStyle w:val="Hyperlink"/>
                <w:rFonts w:ascii="Arial" w:hAnsi="Arial" w:cs="Arial"/>
                <w:noProof/>
                <w:sz w:val="24"/>
                <w:szCs w:val="24"/>
              </w:rPr>
              <w:t>iii.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Personal Possession</w:t>
            </w:r>
            <w:r w:rsidRPr="001B3304">
              <w:rPr>
                <w:noProof/>
                <w:webHidden/>
              </w:rPr>
              <w:tab/>
            </w:r>
            <w:r w:rsidRPr="001B3304">
              <w:rPr>
                <w:noProof/>
                <w:webHidden/>
              </w:rPr>
              <w:fldChar w:fldCharType="begin"/>
            </w:r>
            <w:r w:rsidRPr="001B3304">
              <w:rPr>
                <w:noProof/>
                <w:webHidden/>
              </w:rPr>
              <w:instrText xml:space="preserve"> PAGEREF _Toc134294173 \h </w:instrText>
            </w:r>
            <w:r w:rsidRPr="001B3304">
              <w:rPr>
                <w:noProof/>
                <w:webHidden/>
              </w:rPr>
            </w:r>
            <w:r w:rsidRPr="001B3304">
              <w:rPr>
                <w:noProof/>
                <w:webHidden/>
              </w:rPr>
              <w:fldChar w:fldCharType="separate"/>
            </w:r>
            <w:r w:rsidR="00CC73A9">
              <w:rPr>
                <w:noProof/>
                <w:webHidden/>
              </w:rPr>
              <w:t>78</w:t>
            </w:r>
            <w:r w:rsidRPr="001B3304">
              <w:rPr>
                <w:noProof/>
                <w:webHidden/>
              </w:rPr>
              <w:fldChar w:fldCharType="end"/>
            </w:r>
          </w:hyperlink>
        </w:p>
        <w:p w14:paraId="7659AC0E" w14:textId="359B8965" w:rsidR="001B3304" w:rsidRPr="001B3304" w:rsidRDefault="001B3304" w:rsidP="00CC73A9">
          <w:pPr>
            <w:pStyle w:val="TOC3"/>
            <w:rPr>
              <w:rFonts w:eastAsiaTheme="minorEastAsia"/>
              <w:noProof/>
              <w:kern w:val="2"/>
              <w:lang w:val="en-CA"/>
              <w14:ligatures w14:val="standardContextual"/>
            </w:rPr>
          </w:pPr>
          <w:hyperlink w:anchor="_Toc134294174" w:history="1">
            <w:r w:rsidRPr="001B3304">
              <w:rPr>
                <w:rStyle w:val="Hyperlink"/>
                <w:rFonts w:ascii="Arial" w:hAnsi="Arial" w:cs="Arial"/>
                <w:noProof/>
                <w:sz w:val="24"/>
                <w:szCs w:val="24"/>
              </w:rPr>
              <w:t>iv.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Constructive Possession</w:t>
            </w:r>
            <w:r w:rsidRPr="001B3304">
              <w:rPr>
                <w:noProof/>
                <w:webHidden/>
              </w:rPr>
              <w:tab/>
            </w:r>
            <w:r w:rsidRPr="001B3304">
              <w:rPr>
                <w:noProof/>
                <w:webHidden/>
              </w:rPr>
              <w:fldChar w:fldCharType="begin"/>
            </w:r>
            <w:r w:rsidRPr="001B3304">
              <w:rPr>
                <w:noProof/>
                <w:webHidden/>
              </w:rPr>
              <w:instrText xml:space="preserve"> PAGEREF _Toc134294174 \h </w:instrText>
            </w:r>
            <w:r w:rsidRPr="001B3304">
              <w:rPr>
                <w:noProof/>
                <w:webHidden/>
              </w:rPr>
            </w:r>
            <w:r w:rsidRPr="001B3304">
              <w:rPr>
                <w:noProof/>
                <w:webHidden/>
              </w:rPr>
              <w:fldChar w:fldCharType="separate"/>
            </w:r>
            <w:r w:rsidR="00CC73A9">
              <w:rPr>
                <w:noProof/>
                <w:webHidden/>
              </w:rPr>
              <w:t>79</w:t>
            </w:r>
            <w:r w:rsidRPr="001B3304">
              <w:rPr>
                <w:noProof/>
                <w:webHidden/>
              </w:rPr>
              <w:fldChar w:fldCharType="end"/>
            </w:r>
          </w:hyperlink>
        </w:p>
        <w:p w14:paraId="692A95A9" w14:textId="3A065D79" w:rsidR="001B3304" w:rsidRPr="001B3304" w:rsidRDefault="001B3304" w:rsidP="00CC73A9">
          <w:pPr>
            <w:pStyle w:val="TOC3"/>
            <w:rPr>
              <w:rFonts w:eastAsiaTheme="minorEastAsia"/>
              <w:noProof/>
              <w:kern w:val="2"/>
              <w:lang w:val="en-CA"/>
              <w14:ligatures w14:val="standardContextual"/>
            </w:rPr>
          </w:pPr>
          <w:hyperlink w:anchor="_Toc134294175" w:history="1">
            <w:r w:rsidRPr="001B3304">
              <w:rPr>
                <w:rStyle w:val="Hyperlink"/>
                <w:rFonts w:ascii="Arial" w:hAnsi="Arial" w:cs="Arial"/>
                <w:noProof/>
                <w:sz w:val="24"/>
                <w:szCs w:val="24"/>
              </w:rPr>
              <w:t>v.</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Willful Blindness</w:t>
            </w:r>
            <w:r w:rsidRPr="001B3304">
              <w:rPr>
                <w:noProof/>
                <w:webHidden/>
              </w:rPr>
              <w:tab/>
            </w:r>
            <w:r w:rsidRPr="001B3304">
              <w:rPr>
                <w:noProof/>
                <w:webHidden/>
              </w:rPr>
              <w:fldChar w:fldCharType="begin"/>
            </w:r>
            <w:r w:rsidRPr="001B3304">
              <w:rPr>
                <w:noProof/>
                <w:webHidden/>
              </w:rPr>
              <w:instrText xml:space="preserve"> PAGEREF _Toc134294175 \h </w:instrText>
            </w:r>
            <w:r w:rsidRPr="001B3304">
              <w:rPr>
                <w:noProof/>
                <w:webHidden/>
              </w:rPr>
            </w:r>
            <w:r w:rsidRPr="001B3304">
              <w:rPr>
                <w:noProof/>
                <w:webHidden/>
              </w:rPr>
              <w:fldChar w:fldCharType="separate"/>
            </w:r>
            <w:r w:rsidR="00CC73A9">
              <w:rPr>
                <w:noProof/>
                <w:webHidden/>
              </w:rPr>
              <w:t>79</w:t>
            </w:r>
            <w:r w:rsidRPr="001B3304">
              <w:rPr>
                <w:noProof/>
                <w:webHidden/>
              </w:rPr>
              <w:fldChar w:fldCharType="end"/>
            </w:r>
          </w:hyperlink>
        </w:p>
        <w:p w14:paraId="21BC68E9" w14:textId="31934C16" w:rsidR="001B3304" w:rsidRPr="001B3304" w:rsidRDefault="001B3304" w:rsidP="00CC73A9">
          <w:pPr>
            <w:pStyle w:val="TOC3"/>
            <w:rPr>
              <w:rFonts w:eastAsiaTheme="minorEastAsia"/>
              <w:noProof/>
              <w:kern w:val="2"/>
              <w:lang w:val="en-CA"/>
              <w14:ligatures w14:val="standardContextual"/>
            </w:rPr>
          </w:pPr>
          <w:hyperlink w:anchor="_Toc134294176" w:history="1">
            <w:r w:rsidRPr="001B3304">
              <w:rPr>
                <w:rStyle w:val="Hyperlink"/>
                <w:rFonts w:ascii="Arial" w:hAnsi="Arial" w:cs="Arial"/>
                <w:noProof/>
                <w:sz w:val="24"/>
                <w:szCs w:val="24"/>
              </w:rPr>
              <w:t>vi.</w:t>
            </w:r>
            <w:r w:rsidRPr="001B3304">
              <w:rPr>
                <w:rFonts w:eastAsiaTheme="minorEastAsia"/>
                <w:noProof/>
                <w:kern w:val="2"/>
                <w:lang w:val="en-CA"/>
                <w14:ligatures w14:val="standardContextual"/>
              </w:rPr>
              <w:tab/>
            </w:r>
            <w:r w:rsidRPr="001B3304">
              <w:rPr>
                <w:rStyle w:val="Hyperlink"/>
                <w:rFonts w:ascii="Arial" w:hAnsi="Arial" w:cs="Arial"/>
                <w:noProof/>
                <w:sz w:val="24"/>
                <w:szCs w:val="24"/>
              </w:rPr>
              <w:t>Examples from the Caselaw</w:t>
            </w:r>
            <w:r w:rsidRPr="001B3304">
              <w:rPr>
                <w:noProof/>
                <w:webHidden/>
              </w:rPr>
              <w:tab/>
            </w:r>
            <w:r w:rsidRPr="001B3304">
              <w:rPr>
                <w:noProof/>
                <w:webHidden/>
              </w:rPr>
              <w:fldChar w:fldCharType="begin"/>
            </w:r>
            <w:r w:rsidRPr="001B3304">
              <w:rPr>
                <w:noProof/>
                <w:webHidden/>
              </w:rPr>
              <w:instrText xml:space="preserve"> PAGEREF _Toc134294176 \h </w:instrText>
            </w:r>
            <w:r w:rsidRPr="001B3304">
              <w:rPr>
                <w:noProof/>
                <w:webHidden/>
              </w:rPr>
            </w:r>
            <w:r w:rsidRPr="001B3304">
              <w:rPr>
                <w:noProof/>
                <w:webHidden/>
              </w:rPr>
              <w:fldChar w:fldCharType="separate"/>
            </w:r>
            <w:r w:rsidR="00CC73A9">
              <w:rPr>
                <w:noProof/>
                <w:webHidden/>
              </w:rPr>
              <w:t>80</w:t>
            </w:r>
            <w:r w:rsidRPr="001B3304">
              <w:rPr>
                <w:noProof/>
                <w:webHidden/>
              </w:rPr>
              <w:fldChar w:fldCharType="end"/>
            </w:r>
          </w:hyperlink>
        </w:p>
        <w:p w14:paraId="5411776E" w14:textId="347343C0"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77" w:history="1">
            <w:r w:rsidRPr="001B3304">
              <w:rPr>
                <w:rStyle w:val="Hyperlink"/>
                <w:rFonts w:ascii="Arial" w:hAnsi="Arial" w:cs="Arial"/>
                <w:noProof/>
                <w:sz w:val="24"/>
                <w:szCs w:val="24"/>
              </w:rPr>
              <w:t>B.</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Possession for the Purpose of Trafficking</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_Toc134294177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80</w:t>
            </w:r>
            <w:r w:rsidRPr="001B3304">
              <w:rPr>
                <w:rFonts w:ascii="Arial" w:hAnsi="Arial" w:cs="Arial"/>
                <w:noProof/>
                <w:webHidden/>
                <w:sz w:val="24"/>
                <w:szCs w:val="24"/>
              </w:rPr>
              <w:fldChar w:fldCharType="end"/>
            </w:r>
          </w:hyperlink>
        </w:p>
        <w:p w14:paraId="3D1F870F" w14:textId="6B17CD6C"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78" w:history="1">
            <w:r w:rsidRPr="001B3304">
              <w:rPr>
                <w:rStyle w:val="Hyperlink"/>
                <w:rFonts w:ascii="Arial" w:hAnsi="Arial" w:cs="Arial"/>
                <w:noProof/>
                <w:sz w:val="24"/>
                <w:szCs w:val="24"/>
              </w:rPr>
              <w:t>C.</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Trafficking</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_Toc134294178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81</w:t>
            </w:r>
            <w:r w:rsidRPr="001B3304">
              <w:rPr>
                <w:rFonts w:ascii="Arial" w:hAnsi="Arial" w:cs="Arial"/>
                <w:noProof/>
                <w:webHidden/>
                <w:sz w:val="24"/>
                <w:szCs w:val="24"/>
              </w:rPr>
              <w:fldChar w:fldCharType="end"/>
            </w:r>
          </w:hyperlink>
        </w:p>
        <w:p w14:paraId="7D8D2AF4" w14:textId="6156897D"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79" w:history="1">
            <w:r w:rsidRPr="001B3304">
              <w:rPr>
                <w:rStyle w:val="Hyperlink"/>
                <w:rFonts w:ascii="Arial" w:hAnsi="Arial" w:cs="Arial"/>
                <w:noProof/>
                <w:sz w:val="24"/>
                <w:szCs w:val="24"/>
              </w:rPr>
              <w:t>D.</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Importing</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_Toc134294179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81</w:t>
            </w:r>
            <w:r w:rsidRPr="001B3304">
              <w:rPr>
                <w:rFonts w:ascii="Arial" w:hAnsi="Arial" w:cs="Arial"/>
                <w:noProof/>
                <w:webHidden/>
                <w:sz w:val="24"/>
                <w:szCs w:val="24"/>
              </w:rPr>
              <w:fldChar w:fldCharType="end"/>
            </w:r>
          </w:hyperlink>
        </w:p>
        <w:p w14:paraId="2BB5D10C" w14:textId="3047D272" w:rsidR="001B3304" w:rsidRPr="001B3304" w:rsidRDefault="001B3304" w:rsidP="00CC73A9">
          <w:pPr>
            <w:pStyle w:val="TOC2"/>
            <w:spacing w:line="600" w:lineRule="auto"/>
            <w:rPr>
              <w:rStyle w:val="Hyperlink"/>
              <w:rFonts w:ascii="Arial" w:hAnsi="Arial" w:cs="Arial"/>
              <w:noProof/>
              <w:sz w:val="24"/>
              <w:szCs w:val="24"/>
            </w:rPr>
          </w:pPr>
          <w:hyperlink w:anchor="_Toc134294180" w:history="1">
            <w:r w:rsidRPr="001B3304">
              <w:rPr>
                <w:rStyle w:val="Hyperlink"/>
                <w:rFonts w:ascii="Arial" w:hAnsi="Arial" w:cs="Arial"/>
                <w:noProof/>
                <w:sz w:val="24"/>
                <w:szCs w:val="24"/>
              </w:rPr>
              <w:t>E.</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Exemption from Liability</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_Toc134294180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82</w:t>
            </w:r>
            <w:r w:rsidRPr="001B3304">
              <w:rPr>
                <w:rFonts w:ascii="Arial" w:hAnsi="Arial" w:cs="Arial"/>
                <w:noProof/>
                <w:webHidden/>
                <w:sz w:val="24"/>
                <w:szCs w:val="24"/>
              </w:rPr>
              <w:fldChar w:fldCharType="end"/>
            </w:r>
          </w:hyperlink>
        </w:p>
        <w:p w14:paraId="7266C3A1" w14:textId="77777777" w:rsidR="001B3304" w:rsidRPr="001B3304" w:rsidRDefault="001B3304" w:rsidP="00CC73A9">
          <w:pPr>
            <w:spacing w:line="600" w:lineRule="auto"/>
            <w:rPr>
              <w:rFonts w:ascii="Arial" w:eastAsiaTheme="minorEastAsia" w:hAnsi="Arial" w:cs="Arial"/>
              <w:noProof/>
              <w:lang w:val="en-US"/>
            </w:rPr>
          </w:pPr>
        </w:p>
        <w:p w14:paraId="28774E23" w14:textId="7F380E50" w:rsidR="001B3304" w:rsidRPr="00CC73A9" w:rsidRDefault="001B3304" w:rsidP="00CC73A9">
          <w:pPr>
            <w:pStyle w:val="TOC1"/>
            <w:spacing w:line="600" w:lineRule="auto"/>
            <w:rPr>
              <w:color w:val="0000FF"/>
              <w:u w:val="single"/>
            </w:rPr>
          </w:pPr>
          <w:hyperlink w:anchor="_Toc134294181" w:history="1">
            <w:r w:rsidRPr="001B3304">
              <w:rPr>
                <w:rStyle w:val="Hyperlink"/>
              </w:rPr>
              <w:t>HIGHWAY TRAFFIC ACT OFFENCES OFFENCES</w:t>
            </w:r>
            <w:r w:rsidRPr="001B3304">
              <w:rPr>
                <w:webHidden/>
              </w:rPr>
              <w:tab/>
            </w:r>
            <w:r w:rsidRPr="001B3304">
              <w:rPr>
                <w:webHidden/>
              </w:rPr>
              <w:fldChar w:fldCharType="begin"/>
            </w:r>
            <w:r w:rsidRPr="001B3304">
              <w:rPr>
                <w:webHidden/>
              </w:rPr>
              <w:instrText xml:space="preserve"> PAGEREF _Toc134294181 \h </w:instrText>
            </w:r>
            <w:r w:rsidRPr="001B3304">
              <w:rPr>
                <w:webHidden/>
              </w:rPr>
            </w:r>
            <w:r w:rsidRPr="001B3304">
              <w:rPr>
                <w:webHidden/>
              </w:rPr>
              <w:fldChar w:fldCharType="separate"/>
            </w:r>
            <w:r w:rsidR="00CC73A9">
              <w:rPr>
                <w:webHidden/>
              </w:rPr>
              <w:t>83</w:t>
            </w:r>
            <w:r w:rsidRPr="001B3304">
              <w:rPr>
                <w:webHidden/>
              </w:rPr>
              <w:fldChar w:fldCharType="end"/>
            </w:r>
          </w:hyperlink>
        </w:p>
        <w:p w14:paraId="14D182F7" w14:textId="5F7F4FF8" w:rsidR="001B3304" w:rsidRPr="001B3304" w:rsidRDefault="001B3304" w:rsidP="00CC73A9">
          <w:pPr>
            <w:pStyle w:val="TOC2"/>
            <w:spacing w:line="600" w:lineRule="auto"/>
            <w:rPr>
              <w:rStyle w:val="Hyperlink"/>
              <w:rFonts w:ascii="Arial" w:hAnsi="Arial" w:cs="Arial"/>
              <w:noProof/>
              <w:sz w:val="24"/>
              <w:szCs w:val="24"/>
            </w:rPr>
          </w:pPr>
          <w:hyperlink w:anchor="_Toc134294182"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Drive no Insurance</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_Toc134294182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83</w:t>
            </w:r>
            <w:r w:rsidRPr="001B3304">
              <w:rPr>
                <w:rFonts w:ascii="Arial" w:hAnsi="Arial" w:cs="Arial"/>
                <w:noProof/>
                <w:webHidden/>
                <w:sz w:val="24"/>
                <w:szCs w:val="24"/>
              </w:rPr>
              <w:fldChar w:fldCharType="end"/>
            </w:r>
          </w:hyperlink>
        </w:p>
        <w:p w14:paraId="274B8B87" w14:textId="77777777" w:rsidR="001B3304" w:rsidRPr="001B3304" w:rsidRDefault="001B3304" w:rsidP="00CC73A9">
          <w:pPr>
            <w:spacing w:line="600" w:lineRule="auto"/>
            <w:rPr>
              <w:rFonts w:ascii="Arial" w:eastAsiaTheme="minorEastAsia" w:hAnsi="Arial" w:cs="Arial"/>
              <w:noProof/>
              <w:lang w:val="en-US"/>
            </w:rPr>
          </w:pPr>
        </w:p>
        <w:p w14:paraId="2E9F55E3" w14:textId="54C4C196" w:rsidR="001B3304" w:rsidRPr="00CC73A9" w:rsidRDefault="001B3304" w:rsidP="00CC73A9">
          <w:pPr>
            <w:pStyle w:val="TOC1"/>
            <w:spacing w:line="600" w:lineRule="auto"/>
            <w:rPr>
              <w:color w:val="0000FF"/>
              <w:u w:val="single"/>
            </w:rPr>
          </w:pPr>
          <w:hyperlink w:anchor="_Toc134294183" w:history="1">
            <w:r w:rsidRPr="001B3304">
              <w:rPr>
                <w:rStyle w:val="Hyperlink"/>
              </w:rPr>
              <w:t>PROCEEDS OF CRIME AND TERRORIST FINANCING ACT</w:t>
            </w:r>
            <w:r w:rsidRPr="001B3304">
              <w:rPr>
                <w:webHidden/>
              </w:rPr>
              <w:tab/>
            </w:r>
            <w:r w:rsidRPr="001B3304">
              <w:rPr>
                <w:webHidden/>
              </w:rPr>
              <w:fldChar w:fldCharType="begin"/>
            </w:r>
            <w:r w:rsidRPr="001B3304">
              <w:rPr>
                <w:webHidden/>
              </w:rPr>
              <w:instrText xml:space="preserve"> PAGEREF _Toc134294183 \h </w:instrText>
            </w:r>
            <w:r w:rsidRPr="001B3304">
              <w:rPr>
                <w:webHidden/>
              </w:rPr>
            </w:r>
            <w:r w:rsidRPr="001B3304">
              <w:rPr>
                <w:webHidden/>
              </w:rPr>
              <w:fldChar w:fldCharType="separate"/>
            </w:r>
            <w:r w:rsidR="00CC73A9">
              <w:rPr>
                <w:webHidden/>
              </w:rPr>
              <w:t>83</w:t>
            </w:r>
            <w:r w:rsidRPr="001B3304">
              <w:rPr>
                <w:webHidden/>
              </w:rPr>
              <w:fldChar w:fldCharType="end"/>
            </w:r>
          </w:hyperlink>
        </w:p>
        <w:p w14:paraId="62D83821" w14:textId="072E66BC" w:rsidR="001B3304" w:rsidRPr="001B3304" w:rsidRDefault="001B3304" w:rsidP="00CC73A9">
          <w:pPr>
            <w:pStyle w:val="TOC2"/>
            <w:spacing w:line="600" w:lineRule="auto"/>
            <w:rPr>
              <w:rStyle w:val="Hyperlink"/>
              <w:rFonts w:ascii="Arial" w:hAnsi="Arial" w:cs="Arial"/>
              <w:noProof/>
              <w:sz w:val="24"/>
              <w:szCs w:val="24"/>
            </w:rPr>
          </w:pPr>
          <w:hyperlink w:anchor="_Toc134294184"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Laundering Proceeds of Crime</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_Toc134294184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83</w:t>
            </w:r>
            <w:r w:rsidRPr="001B3304">
              <w:rPr>
                <w:rFonts w:ascii="Arial" w:hAnsi="Arial" w:cs="Arial"/>
                <w:noProof/>
                <w:webHidden/>
                <w:sz w:val="24"/>
                <w:szCs w:val="24"/>
              </w:rPr>
              <w:fldChar w:fldCharType="end"/>
            </w:r>
          </w:hyperlink>
        </w:p>
        <w:p w14:paraId="1489CC11" w14:textId="77777777" w:rsidR="001B3304" w:rsidRPr="001B3304" w:rsidRDefault="001B3304" w:rsidP="00CC73A9">
          <w:pPr>
            <w:spacing w:line="600" w:lineRule="auto"/>
            <w:rPr>
              <w:rFonts w:ascii="Arial" w:eastAsiaTheme="minorEastAsia" w:hAnsi="Arial" w:cs="Arial"/>
              <w:noProof/>
              <w:lang w:val="en-US"/>
            </w:rPr>
          </w:pPr>
        </w:p>
        <w:p w14:paraId="454F4AE3" w14:textId="07164AE9" w:rsidR="001B3304" w:rsidRPr="00CC73A9" w:rsidRDefault="001B3304" w:rsidP="00CC73A9">
          <w:pPr>
            <w:pStyle w:val="TOC1"/>
            <w:spacing w:line="600" w:lineRule="auto"/>
            <w:rPr>
              <w:color w:val="0000FF"/>
              <w:u w:val="single"/>
            </w:rPr>
          </w:pPr>
          <w:hyperlink w:anchor="_Toc134294185" w:history="1">
            <w:r w:rsidRPr="001B3304">
              <w:rPr>
                <w:rStyle w:val="Hyperlink"/>
              </w:rPr>
              <w:t>INCOME TAX ACT OFFENCES</w:t>
            </w:r>
            <w:r w:rsidRPr="001B3304">
              <w:rPr>
                <w:webHidden/>
              </w:rPr>
              <w:tab/>
            </w:r>
            <w:r w:rsidRPr="001B3304">
              <w:rPr>
                <w:webHidden/>
              </w:rPr>
              <w:fldChar w:fldCharType="begin"/>
            </w:r>
            <w:r w:rsidRPr="001B3304">
              <w:rPr>
                <w:webHidden/>
              </w:rPr>
              <w:instrText xml:space="preserve"> PAGEREF _Toc134294185 \h </w:instrText>
            </w:r>
            <w:r w:rsidRPr="001B3304">
              <w:rPr>
                <w:webHidden/>
              </w:rPr>
            </w:r>
            <w:r w:rsidRPr="001B3304">
              <w:rPr>
                <w:webHidden/>
              </w:rPr>
              <w:fldChar w:fldCharType="separate"/>
            </w:r>
            <w:r w:rsidR="00CC73A9">
              <w:rPr>
                <w:webHidden/>
              </w:rPr>
              <w:t>84</w:t>
            </w:r>
            <w:r w:rsidRPr="001B3304">
              <w:rPr>
                <w:webHidden/>
              </w:rPr>
              <w:fldChar w:fldCharType="end"/>
            </w:r>
          </w:hyperlink>
        </w:p>
        <w:p w14:paraId="1B28FEF2" w14:textId="471C60A2" w:rsidR="001B3304" w:rsidRPr="001B3304" w:rsidRDefault="001B3304" w:rsidP="00CC73A9">
          <w:pPr>
            <w:pStyle w:val="TOC2"/>
            <w:spacing w:line="600" w:lineRule="auto"/>
            <w:rPr>
              <w:rFonts w:ascii="Arial" w:eastAsiaTheme="minorEastAsia" w:hAnsi="Arial" w:cs="Arial"/>
              <w:b w:val="0"/>
              <w:noProof/>
              <w:kern w:val="2"/>
              <w:sz w:val="24"/>
              <w:szCs w:val="24"/>
              <w:lang w:val="en-CA"/>
              <w14:ligatures w14:val="standardContextual"/>
            </w:rPr>
          </w:pPr>
          <w:hyperlink w:anchor="_Toc134294186" w:history="1">
            <w:r w:rsidRPr="001B3304">
              <w:rPr>
                <w:rStyle w:val="Hyperlink"/>
                <w:rFonts w:ascii="Arial" w:hAnsi="Arial" w:cs="Arial"/>
                <w:noProof/>
                <w:sz w:val="24"/>
                <w:szCs w:val="24"/>
              </w:rPr>
              <w:t>A.</w:t>
            </w:r>
            <w:r w:rsidRPr="001B3304">
              <w:rPr>
                <w:rFonts w:ascii="Arial" w:eastAsiaTheme="minorEastAsia" w:hAnsi="Arial" w:cs="Arial"/>
                <w:b w:val="0"/>
                <w:noProof/>
                <w:kern w:val="2"/>
                <w:sz w:val="24"/>
                <w:szCs w:val="24"/>
                <w:lang w:val="en-CA"/>
                <w14:ligatures w14:val="standardContextual"/>
              </w:rPr>
              <w:tab/>
            </w:r>
            <w:r w:rsidRPr="001B3304">
              <w:rPr>
                <w:rStyle w:val="Hyperlink"/>
                <w:rFonts w:ascii="Arial" w:hAnsi="Arial" w:cs="Arial"/>
                <w:noProof/>
                <w:sz w:val="24"/>
                <w:szCs w:val="24"/>
              </w:rPr>
              <w:t>Tax Evasion</w:t>
            </w:r>
            <w:r w:rsidRPr="001B3304">
              <w:rPr>
                <w:rFonts w:ascii="Arial" w:hAnsi="Arial" w:cs="Arial"/>
                <w:noProof/>
                <w:webHidden/>
                <w:sz w:val="24"/>
                <w:szCs w:val="24"/>
              </w:rPr>
              <w:tab/>
            </w:r>
            <w:r w:rsidRPr="001B3304">
              <w:rPr>
                <w:rFonts w:ascii="Arial" w:hAnsi="Arial" w:cs="Arial"/>
                <w:noProof/>
                <w:webHidden/>
                <w:sz w:val="24"/>
                <w:szCs w:val="24"/>
              </w:rPr>
              <w:fldChar w:fldCharType="begin"/>
            </w:r>
            <w:r w:rsidRPr="001B3304">
              <w:rPr>
                <w:rFonts w:ascii="Arial" w:hAnsi="Arial" w:cs="Arial"/>
                <w:noProof/>
                <w:webHidden/>
                <w:sz w:val="24"/>
                <w:szCs w:val="24"/>
              </w:rPr>
              <w:instrText xml:space="preserve"> PAGEREF _Toc134294186 \h </w:instrText>
            </w:r>
            <w:r w:rsidRPr="001B3304">
              <w:rPr>
                <w:rFonts w:ascii="Arial" w:hAnsi="Arial" w:cs="Arial"/>
                <w:noProof/>
                <w:webHidden/>
                <w:sz w:val="24"/>
                <w:szCs w:val="24"/>
              </w:rPr>
            </w:r>
            <w:r w:rsidRPr="001B3304">
              <w:rPr>
                <w:rFonts w:ascii="Arial" w:hAnsi="Arial" w:cs="Arial"/>
                <w:noProof/>
                <w:webHidden/>
                <w:sz w:val="24"/>
                <w:szCs w:val="24"/>
              </w:rPr>
              <w:fldChar w:fldCharType="separate"/>
            </w:r>
            <w:r w:rsidR="00CC73A9">
              <w:rPr>
                <w:rFonts w:ascii="Arial" w:hAnsi="Arial" w:cs="Arial"/>
                <w:noProof/>
                <w:webHidden/>
                <w:sz w:val="24"/>
                <w:szCs w:val="24"/>
              </w:rPr>
              <w:t>84</w:t>
            </w:r>
            <w:r w:rsidRPr="001B3304">
              <w:rPr>
                <w:rFonts w:ascii="Arial" w:hAnsi="Arial" w:cs="Arial"/>
                <w:noProof/>
                <w:webHidden/>
                <w:sz w:val="24"/>
                <w:szCs w:val="24"/>
              </w:rPr>
              <w:fldChar w:fldCharType="end"/>
            </w:r>
          </w:hyperlink>
        </w:p>
        <w:p w14:paraId="42234602" w14:textId="0EC959DE" w:rsidR="000E4EB9" w:rsidRPr="001B3304" w:rsidRDefault="0082048F" w:rsidP="00CC73A9">
          <w:pPr>
            <w:spacing w:line="600" w:lineRule="auto"/>
            <w:rPr>
              <w:rFonts w:ascii="Arial" w:hAnsi="Arial" w:cs="Arial"/>
            </w:rPr>
          </w:pPr>
          <w:r w:rsidRPr="001B3304">
            <w:rPr>
              <w:rFonts w:ascii="Arial" w:hAnsi="Arial" w:cs="Arial"/>
              <w:b/>
              <w:bCs/>
              <w:noProof/>
            </w:rPr>
            <w:fldChar w:fldCharType="end"/>
          </w:r>
        </w:p>
      </w:sdtContent>
    </w:sdt>
    <w:p w14:paraId="71A2A35D" w14:textId="77777777" w:rsidR="00786083" w:rsidRPr="001B3304" w:rsidRDefault="00786083" w:rsidP="003E1822">
      <w:pPr>
        <w:pStyle w:val="NoSpacing"/>
        <w:rPr>
          <w:szCs w:val="24"/>
        </w:rPr>
      </w:pPr>
    </w:p>
    <w:p w14:paraId="448B9F93" w14:textId="77777777" w:rsidR="00AE6369" w:rsidRPr="001B3304" w:rsidRDefault="00AE6369" w:rsidP="003E1822">
      <w:pPr>
        <w:pStyle w:val="NoSpacing"/>
        <w:rPr>
          <w:szCs w:val="24"/>
        </w:rPr>
      </w:pPr>
    </w:p>
    <w:p w14:paraId="41111A5D" w14:textId="77777777" w:rsidR="00621FDB" w:rsidRPr="001B3304" w:rsidRDefault="00621FDB" w:rsidP="003E1822">
      <w:pPr>
        <w:pStyle w:val="NoSpacing"/>
        <w:rPr>
          <w:szCs w:val="24"/>
        </w:rPr>
      </w:pPr>
    </w:p>
    <w:p w14:paraId="1D016A79" w14:textId="77777777" w:rsidR="001B3304" w:rsidRPr="001B3304" w:rsidRDefault="001B3304" w:rsidP="003E1822">
      <w:pPr>
        <w:pStyle w:val="NoSpacing"/>
        <w:rPr>
          <w:szCs w:val="24"/>
        </w:rPr>
      </w:pPr>
    </w:p>
    <w:p w14:paraId="72D0F206" w14:textId="77777777" w:rsidR="001B3304" w:rsidRPr="001B3304" w:rsidRDefault="001B3304" w:rsidP="003E1822">
      <w:pPr>
        <w:pStyle w:val="NoSpacing"/>
        <w:rPr>
          <w:szCs w:val="24"/>
        </w:rPr>
      </w:pPr>
    </w:p>
    <w:p w14:paraId="331B5FB3" w14:textId="77777777" w:rsidR="001B3304" w:rsidRPr="001B3304" w:rsidRDefault="001B3304" w:rsidP="003E1822">
      <w:pPr>
        <w:pStyle w:val="NoSpacing"/>
        <w:rPr>
          <w:szCs w:val="24"/>
        </w:rPr>
      </w:pPr>
    </w:p>
    <w:p w14:paraId="39859886" w14:textId="77777777" w:rsidR="001B3304" w:rsidRPr="001B3304" w:rsidRDefault="001B3304" w:rsidP="003E1822">
      <w:pPr>
        <w:pStyle w:val="NoSpacing"/>
        <w:rPr>
          <w:szCs w:val="24"/>
        </w:rPr>
      </w:pPr>
    </w:p>
    <w:p w14:paraId="3802DE77" w14:textId="77777777" w:rsidR="001B3304" w:rsidRPr="001B3304" w:rsidRDefault="001B3304" w:rsidP="003E1822">
      <w:pPr>
        <w:pStyle w:val="NoSpacing"/>
        <w:rPr>
          <w:szCs w:val="24"/>
        </w:rPr>
      </w:pPr>
    </w:p>
    <w:p w14:paraId="56C960B1" w14:textId="77777777" w:rsidR="001B3304" w:rsidRPr="001B3304" w:rsidRDefault="001B3304" w:rsidP="003E1822">
      <w:pPr>
        <w:pStyle w:val="NoSpacing"/>
        <w:rPr>
          <w:szCs w:val="24"/>
        </w:rPr>
      </w:pPr>
    </w:p>
    <w:p w14:paraId="214F8680" w14:textId="77777777" w:rsidR="001B3304" w:rsidRPr="001B3304" w:rsidRDefault="001B3304" w:rsidP="003E1822">
      <w:pPr>
        <w:pStyle w:val="NoSpacing"/>
        <w:rPr>
          <w:szCs w:val="24"/>
        </w:rPr>
      </w:pPr>
    </w:p>
    <w:p w14:paraId="185AD07D" w14:textId="77777777" w:rsidR="001B3304" w:rsidRPr="001B3304" w:rsidRDefault="001B3304" w:rsidP="003E1822">
      <w:pPr>
        <w:pStyle w:val="NoSpacing"/>
        <w:rPr>
          <w:szCs w:val="24"/>
        </w:rPr>
      </w:pPr>
    </w:p>
    <w:p w14:paraId="5AE640EE" w14:textId="77777777" w:rsidR="001B3304" w:rsidRPr="001B3304" w:rsidRDefault="001B3304" w:rsidP="003E1822">
      <w:pPr>
        <w:pStyle w:val="NoSpacing"/>
        <w:rPr>
          <w:szCs w:val="24"/>
        </w:rPr>
      </w:pPr>
    </w:p>
    <w:p w14:paraId="456CC94A" w14:textId="77777777" w:rsidR="001B3304" w:rsidRDefault="001B3304" w:rsidP="003E1822">
      <w:pPr>
        <w:pStyle w:val="NoSpacing"/>
        <w:rPr>
          <w:szCs w:val="24"/>
        </w:rPr>
      </w:pPr>
    </w:p>
    <w:p w14:paraId="6699894F" w14:textId="77777777" w:rsidR="00CC73A9" w:rsidRDefault="00CC73A9" w:rsidP="003E1822">
      <w:pPr>
        <w:pStyle w:val="NoSpacing"/>
        <w:rPr>
          <w:szCs w:val="24"/>
        </w:rPr>
      </w:pPr>
    </w:p>
    <w:p w14:paraId="3F35666C" w14:textId="77777777" w:rsidR="00CC73A9" w:rsidRDefault="00CC73A9" w:rsidP="003E1822">
      <w:pPr>
        <w:pStyle w:val="NoSpacing"/>
        <w:rPr>
          <w:szCs w:val="24"/>
        </w:rPr>
      </w:pPr>
    </w:p>
    <w:p w14:paraId="6B9A40A8" w14:textId="77777777" w:rsidR="00CC73A9" w:rsidRDefault="00CC73A9" w:rsidP="003E1822">
      <w:pPr>
        <w:pStyle w:val="NoSpacing"/>
        <w:rPr>
          <w:szCs w:val="24"/>
        </w:rPr>
      </w:pPr>
    </w:p>
    <w:p w14:paraId="2BC3F4CD" w14:textId="77777777" w:rsidR="00CC73A9" w:rsidRPr="001B3304" w:rsidRDefault="00CC73A9" w:rsidP="003E1822">
      <w:pPr>
        <w:pStyle w:val="NoSpacing"/>
        <w:rPr>
          <w:szCs w:val="24"/>
        </w:rPr>
      </w:pPr>
    </w:p>
    <w:p w14:paraId="5B465AB8" w14:textId="77777777" w:rsidR="001B3304" w:rsidRPr="001B3304" w:rsidRDefault="001B3304" w:rsidP="003E1822">
      <w:pPr>
        <w:pStyle w:val="NoSpacing"/>
        <w:rPr>
          <w:szCs w:val="24"/>
        </w:rPr>
      </w:pPr>
    </w:p>
    <w:p w14:paraId="3334D2BC" w14:textId="77777777" w:rsidR="001B3304" w:rsidRPr="001B3304" w:rsidRDefault="001B3304" w:rsidP="003E1822">
      <w:pPr>
        <w:pStyle w:val="NoSpacing"/>
        <w:rPr>
          <w:szCs w:val="24"/>
        </w:rPr>
      </w:pPr>
    </w:p>
    <w:p w14:paraId="02DD568A" w14:textId="77777777" w:rsidR="001B3304" w:rsidRPr="001B3304" w:rsidRDefault="001B3304" w:rsidP="003E1822">
      <w:pPr>
        <w:pStyle w:val="NoSpacing"/>
        <w:rPr>
          <w:szCs w:val="24"/>
        </w:rPr>
      </w:pPr>
    </w:p>
    <w:p w14:paraId="213C36C5" w14:textId="40B7DFD8" w:rsidR="00621728" w:rsidRPr="001B3304" w:rsidRDefault="00ED49A2" w:rsidP="003E1822">
      <w:pPr>
        <w:pStyle w:val="Heading1"/>
        <w:spacing w:line="276" w:lineRule="auto"/>
        <w:rPr>
          <w:rFonts w:ascii="Arial" w:hAnsi="Arial" w:cs="Arial"/>
          <w:sz w:val="24"/>
          <w:szCs w:val="24"/>
        </w:rPr>
      </w:pPr>
      <w:bookmarkStart w:id="13" w:name="_Toc134294053"/>
      <w:r w:rsidRPr="001B3304">
        <w:rPr>
          <w:rFonts w:ascii="Arial" w:hAnsi="Arial" w:cs="Arial"/>
          <w:caps w:val="0"/>
          <w:sz w:val="24"/>
          <w:szCs w:val="24"/>
        </w:rPr>
        <w:lastRenderedPageBreak/>
        <w:t>PART I</w:t>
      </w:r>
      <w:bookmarkEnd w:id="13"/>
    </w:p>
    <w:p w14:paraId="661B8DC8" w14:textId="77777777" w:rsidR="00457CBD" w:rsidRPr="001B3304" w:rsidRDefault="00457CBD" w:rsidP="003E1822">
      <w:pPr>
        <w:spacing w:line="276" w:lineRule="auto"/>
        <w:rPr>
          <w:rFonts w:ascii="Arial" w:hAnsi="Arial" w:cs="Arial"/>
        </w:rPr>
      </w:pPr>
    </w:p>
    <w:p w14:paraId="13F9D2EE" w14:textId="76552E6B" w:rsidR="00621728" w:rsidRPr="001B3304" w:rsidRDefault="00621728" w:rsidP="003E1822">
      <w:pPr>
        <w:pStyle w:val="Heading2"/>
        <w:spacing w:line="276" w:lineRule="auto"/>
      </w:pPr>
      <w:bookmarkStart w:id="14" w:name="_Toc134294054"/>
      <w:r w:rsidRPr="001B3304">
        <w:t>Attempts: s.24</w:t>
      </w:r>
      <w:bookmarkEnd w:id="14"/>
    </w:p>
    <w:p w14:paraId="59781592" w14:textId="77777777" w:rsidR="00621728" w:rsidRPr="001B3304" w:rsidRDefault="00621728" w:rsidP="003E1822">
      <w:pPr>
        <w:pStyle w:val="NoSpacing"/>
        <w:rPr>
          <w:szCs w:val="24"/>
        </w:rPr>
      </w:pPr>
      <w:r w:rsidRPr="001B3304">
        <w:rPr>
          <w:szCs w:val="24"/>
        </w:rPr>
        <w:t xml:space="preserve">It is doubtful that  “attempting to aid an offence” is a recognized form of criminal liability in Canada: </w:t>
      </w:r>
      <w:r w:rsidRPr="001B3304">
        <w:rPr>
          <w:i/>
          <w:iCs/>
          <w:szCs w:val="24"/>
        </w:rPr>
        <w:t xml:space="preserve">R v Grewal, </w:t>
      </w:r>
      <w:hyperlink r:id="rId8" w:anchor="_ftn1" w:history="1">
        <w:r w:rsidRPr="001B3304">
          <w:rPr>
            <w:rStyle w:val="Hyperlink"/>
            <w:szCs w:val="24"/>
          </w:rPr>
          <w:t>2019 ONCA 630</w:t>
        </w:r>
      </w:hyperlink>
      <w:r w:rsidRPr="001B3304">
        <w:rPr>
          <w:szCs w:val="24"/>
        </w:rPr>
        <w:t>, at para 33</w:t>
      </w:r>
    </w:p>
    <w:p w14:paraId="3CE2C49E" w14:textId="4A1B2AF7" w:rsidR="00621728" w:rsidRPr="001B3304" w:rsidRDefault="00621728" w:rsidP="003E1822">
      <w:pPr>
        <w:spacing w:line="276" w:lineRule="auto"/>
        <w:rPr>
          <w:rFonts w:ascii="Arial" w:hAnsi="Arial" w:cs="Arial"/>
        </w:rPr>
      </w:pPr>
    </w:p>
    <w:p w14:paraId="0F4C227F" w14:textId="77777777" w:rsidR="00457CBD" w:rsidRPr="001B3304" w:rsidRDefault="00457CBD" w:rsidP="003E1822">
      <w:pPr>
        <w:spacing w:line="276" w:lineRule="auto"/>
        <w:rPr>
          <w:rFonts w:ascii="Arial" w:hAnsi="Arial" w:cs="Arial"/>
        </w:rPr>
      </w:pPr>
    </w:p>
    <w:p w14:paraId="4A5798F8" w14:textId="1E0DD6E5" w:rsidR="002A76D7" w:rsidRPr="001B3304" w:rsidRDefault="003E1305" w:rsidP="003E1822">
      <w:pPr>
        <w:pStyle w:val="Heading1"/>
        <w:spacing w:line="276" w:lineRule="auto"/>
        <w:rPr>
          <w:rFonts w:ascii="Arial" w:hAnsi="Arial" w:cs="Arial"/>
          <w:sz w:val="24"/>
          <w:szCs w:val="24"/>
        </w:rPr>
      </w:pPr>
      <w:bookmarkStart w:id="15" w:name="_Toc134294055"/>
      <w:r w:rsidRPr="001B3304">
        <w:rPr>
          <w:rFonts w:ascii="Arial" w:hAnsi="Arial" w:cs="Arial"/>
          <w:sz w:val="24"/>
          <w:szCs w:val="24"/>
        </w:rPr>
        <w:t>PART III: FIREARMS AND OTHER WEAPONS</w:t>
      </w:r>
      <w:bookmarkEnd w:id="15"/>
    </w:p>
    <w:p w14:paraId="1D945004" w14:textId="77777777" w:rsidR="002A76D7" w:rsidRPr="001B3304" w:rsidRDefault="002A76D7" w:rsidP="003E1822">
      <w:pPr>
        <w:spacing w:before="100" w:beforeAutospacing="1" w:after="100" w:afterAutospacing="1" w:line="276" w:lineRule="auto"/>
        <w:rPr>
          <w:rFonts w:ascii="Arial" w:hAnsi="Arial" w:cs="Arial"/>
        </w:rPr>
      </w:pPr>
    </w:p>
    <w:p w14:paraId="5DCE6ED6" w14:textId="77777777" w:rsidR="002A76D7" w:rsidRPr="001B3304" w:rsidRDefault="002A76D7" w:rsidP="003E1822">
      <w:pPr>
        <w:pStyle w:val="NoSpacing"/>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rPr>
          <w:szCs w:val="24"/>
        </w:rPr>
      </w:pPr>
      <w:r w:rsidRPr="001B3304">
        <w:rPr>
          <w:szCs w:val="24"/>
        </w:rPr>
        <w:t xml:space="preserve">F​or a review of the element of possession, see Drug Offences, Possession </w:t>
      </w:r>
    </w:p>
    <w:p w14:paraId="537EE939" w14:textId="77777777" w:rsidR="002A76D7" w:rsidRPr="001B3304" w:rsidRDefault="002A76D7" w:rsidP="003E1822">
      <w:pPr>
        <w:spacing w:before="100" w:beforeAutospacing="1" w:after="100" w:afterAutospacing="1" w:line="276" w:lineRule="auto"/>
        <w:rPr>
          <w:rFonts w:ascii="Arial" w:hAnsi="Arial" w:cs="Arial"/>
        </w:rPr>
      </w:pPr>
      <w:r w:rsidRPr="001B3304">
        <w:rPr>
          <w:rFonts w:ascii="Arial" w:hAnsi="Arial" w:cs="Arial"/>
        </w:rPr>
        <w:t>​</w:t>
      </w:r>
    </w:p>
    <w:p w14:paraId="46C6159C" w14:textId="5C192A5B" w:rsidR="002A76D7" w:rsidRPr="001B3304" w:rsidRDefault="00457CBD" w:rsidP="003E1822">
      <w:pPr>
        <w:pStyle w:val="Heading2"/>
        <w:numPr>
          <w:ilvl w:val="0"/>
          <w:numId w:val="7"/>
        </w:numPr>
        <w:spacing w:line="276" w:lineRule="auto"/>
      </w:pPr>
      <w:bookmarkStart w:id="16" w:name="_Toc134294056"/>
      <w:r w:rsidRPr="001B3304">
        <w:t>I</w:t>
      </w:r>
      <w:r w:rsidR="002A76D7" w:rsidRPr="001B3304">
        <w:t xml:space="preserve">s it a </w:t>
      </w:r>
      <w:r w:rsidRPr="001B3304">
        <w:t>R</w:t>
      </w:r>
      <w:r w:rsidR="002A76D7" w:rsidRPr="001B3304">
        <w:t xml:space="preserve">eal </w:t>
      </w:r>
      <w:r w:rsidRPr="001B3304">
        <w:t>F</w:t>
      </w:r>
      <w:r w:rsidR="002A76D7" w:rsidRPr="001B3304">
        <w:t>irearm?</w:t>
      </w:r>
      <w:bookmarkEnd w:id="16"/>
    </w:p>
    <w:p w14:paraId="3837DCB6" w14:textId="77777777" w:rsidR="002A76D7" w:rsidRPr="001B3304" w:rsidRDefault="002A76D7" w:rsidP="003E1822">
      <w:pPr>
        <w:spacing w:line="276" w:lineRule="auto"/>
        <w:jc w:val="both"/>
        <w:rPr>
          <w:rFonts w:ascii="Arial" w:hAnsi="Arial" w:cs="Arial"/>
        </w:rPr>
      </w:pPr>
      <w:r w:rsidRPr="001B3304">
        <w:rPr>
          <w:rFonts w:ascii="Arial" w:hAnsi="Arial" w:cs="Arial"/>
          <w:iCs/>
          <w:color w:val="000000"/>
        </w:rPr>
        <w:t xml:space="preserve">For the test to determine whether circumstantial evidence proves that a real firearm was used, see: </w:t>
      </w:r>
      <w:r w:rsidRPr="001B3304">
        <w:rPr>
          <w:rFonts w:ascii="Arial" w:hAnsi="Arial" w:cs="Arial"/>
          <w:i/>
          <w:iCs/>
          <w:color w:val="000000"/>
        </w:rPr>
        <w:t>R v Richards</w:t>
      </w:r>
      <w:r w:rsidRPr="001B3304">
        <w:rPr>
          <w:rFonts w:ascii="Arial" w:hAnsi="Arial" w:cs="Arial"/>
          <w:color w:val="000000"/>
        </w:rPr>
        <w:t>, 2001 CanLII 21219 (</w:t>
      </w:r>
      <w:proofErr w:type="spellStart"/>
      <w:r w:rsidRPr="001B3304">
        <w:rPr>
          <w:rFonts w:ascii="Arial" w:hAnsi="Arial" w:cs="Arial"/>
          <w:color w:val="000000"/>
        </w:rPr>
        <w:t>Ont</w:t>
      </w:r>
      <w:proofErr w:type="spellEnd"/>
      <w:r w:rsidRPr="001B3304">
        <w:rPr>
          <w:rFonts w:ascii="Arial" w:hAnsi="Arial" w:cs="Arial"/>
          <w:color w:val="000000"/>
        </w:rPr>
        <w:t xml:space="preserve"> CA) and </w:t>
      </w:r>
      <w:r w:rsidRPr="001B3304">
        <w:rPr>
          <w:rFonts w:ascii="Arial" w:hAnsi="Arial" w:cs="Arial"/>
          <w:i/>
          <w:iCs/>
          <w:color w:val="000000"/>
        </w:rPr>
        <w:t>R v Charbonneau</w:t>
      </w:r>
      <w:r w:rsidRPr="001B3304">
        <w:rPr>
          <w:rFonts w:ascii="Arial" w:hAnsi="Arial" w:cs="Arial"/>
          <w:color w:val="000000"/>
        </w:rPr>
        <w:t>, 2004 CanLII 9527 (</w:t>
      </w:r>
      <w:proofErr w:type="spellStart"/>
      <w:r w:rsidRPr="001B3304">
        <w:rPr>
          <w:rFonts w:ascii="Arial" w:hAnsi="Arial" w:cs="Arial"/>
          <w:color w:val="000000"/>
        </w:rPr>
        <w:t>Ont</w:t>
      </w:r>
      <w:proofErr w:type="spellEnd"/>
      <w:r w:rsidRPr="001B3304">
        <w:rPr>
          <w:rFonts w:ascii="Arial" w:hAnsi="Arial" w:cs="Arial"/>
          <w:color w:val="000000"/>
        </w:rPr>
        <w:t xml:space="preserve"> CA)</w:t>
      </w:r>
    </w:p>
    <w:p w14:paraId="521B0031" w14:textId="77777777" w:rsidR="002A76D7" w:rsidRPr="001B3304" w:rsidRDefault="002A76D7" w:rsidP="003E1822">
      <w:pPr>
        <w:spacing w:line="276" w:lineRule="auto"/>
        <w:rPr>
          <w:rFonts w:ascii="Arial" w:hAnsi="Arial" w:cs="Arial"/>
        </w:rPr>
      </w:pPr>
    </w:p>
    <w:p w14:paraId="70E33BFA" w14:textId="77777777" w:rsidR="002A76D7" w:rsidRPr="001B3304" w:rsidRDefault="002A76D7" w:rsidP="003E1822">
      <w:pPr>
        <w:pStyle w:val="Heading2"/>
        <w:numPr>
          <w:ilvl w:val="0"/>
          <w:numId w:val="7"/>
        </w:numPr>
        <w:spacing w:line="276" w:lineRule="auto"/>
      </w:pPr>
      <w:bookmarkStart w:id="17" w:name="_Toc134294057"/>
      <w:r w:rsidRPr="001B3304">
        <w:t xml:space="preserve">Unauthorized Transfer of a Firearm: </w:t>
      </w:r>
      <w:r w:rsidRPr="001B3304">
        <w:rPr>
          <w:u w:val="single"/>
        </w:rPr>
        <w:t>Section 99(1)</w:t>
      </w:r>
      <w:bookmarkEnd w:id="17"/>
    </w:p>
    <w:p w14:paraId="5880E067" w14:textId="77777777" w:rsidR="002A76D7" w:rsidRPr="001B3304" w:rsidRDefault="002A76D7" w:rsidP="003E1822">
      <w:pPr>
        <w:pStyle w:val="NoSpacing"/>
        <w:rPr>
          <w:szCs w:val="24"/>
        </w:rPr>
      </w:pPr>
      <w:r w:rsidRPr="001B3304">
        <w:rPr>
          <w:szCs w:val="24"/>
        </w:rPr>
        <w:t xml:space="preserve">The meaning of “transfer”  in </w:t>
      </w:r>
      <w:r w:rsidRPr="001B3304">
        <w:rPr>
          <w:szCs w:val="24"/>
          <w:u w:val="single"/>
        </w:rPr>
        <w:t>s. 84(1)</w:t>
      </w:r>
      <w:r w:rsidRPr="001B3304">
        <w:rPr>
          <w:szCs w:val="24"/>
        </w:rPr>
        <w:t xml:space="preserve"> does not include “offer to purchase” a firearm: </w:t>
      </w:r>
      <w:r w:rsidRPr="001B3304">
        <w:rPr>
          <w:i/>
          <w:iCs/>
          <w:szCs w:val="24"/>
        </w:rPr>
        <w:t xml:space="preserve">R v </w:t>
      </w:r>
      <w:proofErr w:type="spellStart"/>
      <w:r w:rsidRPr="001B3304">
        <w:rPr>
          <w:i/>
          <w:iCs/>
          <w:szCs w:val="24"/>
        </w:rPr>
        <w:t>Bienvenue</w:t>
      </w:r>
      <w:proofErr w:type="spellEnd"/>
      <w:r w:rsidRPr="001B3304">
        <w:rPr>
          <w:i/>
          <w:iCs/>
          <w:szCs w:val="24"/>
        </w:rPr>
        <w:t xml:space="preserve">, </w:t>
      </w:r>
      <w:r w:rsidRPr="001B3304">
        <w:rPr>
          <w:szCs w:val="24"/>
          <w:u w:val="single"/>
        </w:rPr>
        <w:t>2016 ONCA 865</w:t>
      </w:r>
      <w:r w:rsidRPr="001B3304">
        <w:rPr>
          <w:szCs w:val="24"/>
        </w:rPr>
        <w:t xml:space="preserve"> at para 5</w:t>
      </w:r>
    </w:p>
    <w:p w14:paraId="632DAF8D" w14:textId="77777777" w:rsidR="002A76D7" w:rsidRPr="001B3304" w:rsidRDefault="002A76D7" w:rsidP="003E1822">
      <w:pPr>
        <w:pStyle w:val="NoSpacing"/>
        <w:rPr>
          <w:szCs w:val="24"/>
        </w:rPr>
      </w:pPr>
    </w:p>
    <w:p w14:paraId="2BFCEA83" w14:textId="794A215B" w:rsidR="002A76D7" w:rsidRPr="001B3304" w:rsidRDefault="002A76D7" w:rsidP="003E1822">
      <w:pPr>
        <w:pStyle w:val="NoSpacing"/>
        <w:rPr>
          <w:rFonts w:eastAsia="Times New Roman"/>
          <w:szCs w:val="24"/>
        </w:rPr>
      </w:pPr>
      <w:r w:rsidRPr="001B3304">
        <w:rPr>
          <w:szCs w:val="24"/>
        </w:rPr>
        <w:t xml:space="preserve">​ The offence of trafficking by offer is made out if the accused intends to make an offer that will be taken as a genuine offer by the recipient.  The Crown is not required to prove that the accused actually intended to go through with the offer and sell or otherwise provide the thing that is offered. </w:t>
      </w:r>
      <w:r w:rsidRPr="001B3304">
        <w:rPr>
          <w:rFonts w:eastAsia="Times New Roman"/>
          <w:color w:val="000000"/>
          <w:szCs w:val="24"/>
        </w:rPr>
        <w:t xml:space="preserve">actual access to a firearm is </w:t>
      </w:r>
      <w:r w:rsidRPr="001B3304">
        <w:rPr>
          <w:rFonts w:eastAsia="Times New Roman"/>
          <w:color w:val="000000"/>
          <w:szCs w:val="24"/>
        </w:rPr>
        <w:lastRenderedPageBreak/>
        <w:t>not an element of the offence under s. 99</w:t>
      </w:r>
      <w:r w:rsidRPr="001B3304">
        <w:rPr>
          <w:szCs w:val="24"/>
        </w:rPr>
        <w:t xml:space="preserve">: </w:t>
      </w:r>
      <w:r w:rsidRPr="001B3304">
        <w:rPr>
          <w:i/>
          <w:szCs w:val="24"/>
        </w:rPr>
        <w:t xml:space="preserve">R v </w:t>
      </w:r>
      <w:proofErr w:type="spellStart"/>
      <w:r w:rsidRPr="001B3304">
        <w:rPr>
          <w:i/>
          <w:szCs w:val="24"/>
        </w:rPr>
        <w:t>Hersi</w:t>
      </w:r>
      <w:proofErr w:type="spellEnd"/>
      <w:r w:rsidRPr="001B3304">
        <w:rPr>
          <w:i/>
          <w:szCs w:val="24"/>
        </w:rPr>
        <w:t xml:space="preserve">, </w:t>
      </w:r>
      <w:hyperlink r:id="rId9" w:history="1">
        <w:r w:rsidRPr="001B3304">
          <w:rPr>
            <w:rStyle w:val="Hyperlink"/>
            <w:szCs w:val="24"/>
          </w:rPr>
          <w:t>2018 ONCA 1082</w:t>
        </w:r>
      </w:hyperlink>
      <w:r w:rsidRPr="001B3304">
        <w:rPr>
          <w:szCs w:val="24"/>
        </w:rPr>
        <w:t>, at paras 4, 8</w:t>
      </w:r>
    </w:p>
    <w:p w14:paraId="20BD6AEC" w14:textId="77777777" w:rsidR="002A76D7" w:rsidRPr="001B3304" w:rsidRDefault="002A76D7" w:rsidP="003E1822">
      <w:pPr>
        <w:pStyle w:val="Heading2"/>
        <w:spacing w:line="276" w:lineRule="auto"/>
      </w:pPr>
      <w:bookmarkStart w:id="18" w:name="_Toc134294058"/>
      <w:r w:rsidRPr="001B3304">
        <w:t xml:space="preserve">Using Firearm in Commission of Offence: </w:t>
      </w:r>
      <w:r w:rsidRPr="001B3304">
        <w:rPr>
          <w:u w:val="single"/>
        </w:rPr>
        <w:t>Section 85</w:t>
      </w:r>
      <w:bookmarkEnd w:id="18"/>
    </w:p>
    <w:p w14:paraId="1DBBB694" w14:textId="77777777" w:rsidR="002A76D7" w:rsidRPr="001B3304" w:rsidRDefault="002A76D7" w:rsidP="003E1822">
      <w:pPr>
        <w:spacing w:before="100" w:beforeAutospacing="1" w:after="100" w:afterAutospacing="1" w:line="276" w:lineRule="auto"/>
        <w:rPr>
          <w:rFonts w:ascii="Arial" w:hAnsi="Arial" w:cs="Arial"/>
        </w:rPr>
      </w:pPr>
    </w:p>
    <w:p w14:paraId="4558133F" w14:textId="77777777" w:rsidR="002A76D7" w:rsidRPr="001B3304" w:rsidRDefault="002A76D7" w:rsidP="003E1822">
      <w:pPr>
        <w:pStyle w:val="NoSpacing"/>
        <w:rPr>
          <w:szCs w:val="24"/>
        </w:rPr>
      </w:pPr>
      <w:r w:rsidRPr="001B3304">
        <w:rPr>
          <w:szCs w:val="24"/>
        </w:rPr>
        <w:t xml:space="preserve">In order to sustain a conviction under section 85(2), the Crown must prove beyond a reasonable doubt that the firearm was actually used to facilitate the commission of the predicate offence; mere possession of a firearm is insufficient: </w:t>
      </w:r>
      <w:r w:rsidRPr="001B3304">
        <w:rPr>
          <w:i/>
          <w:iCs/>
          <w:szCs w:val="24"/>
        </w:rPr>
        <w:t>R v Andrade</w:t>
      </w:r>
      <w:r w:rsidRPr="001B3304">
        <w:rPr>
          <w:szCs w:val="24"/>
        </w:rPr>
        <w:t xml:space="preserve">, </w:t>
      </w:r>
      <w:r w:rsidRPr="001B3304">
        <w:rPr>
          <w:szCs w:val="24"/>
          <w:u w:val="single"/>
        </w:rPr>
        <w:t>2015 ONCA 499</w:t>
      </w:r>
      <w:r w:rsidRPr="001B3304">
        <w:rPr>
          <w:szCs w:val="24"/>
        </w:rPr>
        <w:t> at paras 30, 33-37</w:t>
      </w:r>
    </w:p>
    <w:p w14:paraId="5EE73CAA" w14:textId="77777777" w:rsidR="002A76D7" w:rsidRPr="001B3304" w:rsidRDefault="002A76D7" w:rsidP="003E1822">
      <w:pPr>
        <w:pStyle w:val="NoSpacing"/>
        <w:rPr>
          <w:szCs w:val="24"/>
        </w:rPr>
      </w:pPr>
    </w:p>
    <w:p w14:paraId="680F2B5C" w14:textId="77777777" w:rsidR="002A76D7" w:rsidRPr="001B3304" w:rsidRDefault="002A76D7" w:rsidP="003E1822">
      <w:pPr>
        <w:pStyle w:val="NoSpacing"/>
        <w:rPr>
          <w:szCs w:val="24"/>
        </w:rPr>
      </w:pPr>
      <w:r w:rsidRPr="001B3304">
        <w:rPr>
          <w:szCs w:val="24"/>
        </w:rPr>
        <w:t>As a precondition, the Crown must prove that the accused committed the predicate offence: </w:t>
      </w:r>
      <w:r w:rsidRPr="001B3304">
        <w:rPr>
          <w:i/>
          <w:iCs/>
          <w:szCs w:val="24"/>
        </w:rPr>
        <w:t>Andrade </w:t>
      </w:r>
      <w:r w:rsidRPr="001B3304">
        <w:rPr>
          <w:szCs w:val="24"/>
        </w:rPr>
        <w:t>at para 29</w:t>
      </w:r>
    </w:p>
    <w:p w14:paraId="28FF4DF4" w14:textId="77777777" w:rsidR="002A76D7" w:rsidRPr="001B3304" w:rsidRDefault="002A76D7" w:rsidP="003E1822">
      <w:pPr>
        <w:pStyle w:val="Heading2"/>
        <w:spacing w:line="276" w:lineRule="auto"/>
      </w:pPr>
      <w:bookmarkStart w:id="19" w:name="_Toc134294059"/>
      <w:r w:rsidRPr="001B3304">
        <w:t xml:space="preserve">Weapons Dangerous, </w:t>
      </w:r>
      <w:r w:rsidRPr="001B3304">
        <w:rPr>
          <w:u w:val="single"/>
        </w:rPr>
        <w:t>Section 88(1)</w:t>
      </w:r>
      <w:bookmarkEnd w:id="19"/>
    </w:p>
    <w:p w14:paraId="655E41D6" w14:textId="77777777" w:rsidR="002A76D7" w:rsidRPr="001B3304" w:rsidRDefault="002A76D7" w:rsidP="004358F8">
      <w:pPr>
        <w:pStyle w:val="Heading3"/>
      </w:pPr>
      <w:bookmarkStart w:id="20" w:name="_Toc134294060"/>
      <w:r w:rsidRPr="001B3304">
        <w:t>Actus Reus</w:t>
      </w:r>
      <w:bookmarkEnd w:id="20"/>
    </w:p>
    <w:p w14:paraId="6C10916C" w14:textId="77777777" w:rsidR="002A76D7" w:rsidRPr="001B3304" w:rsidRDefault="002A76D7" w:rsidP="003E1822">
      <w:pPr>
        <w:pStyle w:val="NoSpacing"/>
        <w:rPr>
          <w:szCs w:val="24"/>
        </w:rPr>
      </w:pPr>
      <w:r w:rsidRPr="001B3304">
        <w:rPr>
          <w:szCs w:val="24"/>
        </w:rPr>
        <w:t>The actus reus is made out upon establishing that the accused possessed the weapon: R v Andrade, 2015 ONCA 499 at para 36</w:t>
      </w:r>
    </w:p>
    <w:p w14:paraId="52A7BE8A" w14:textId="77777777" w:rsidR="002A76D7" w:rsidRPr="001B3304" w:rsidRDefault="002A76D7" w:rsidP="003E1822">
      <w:pPr>
        <w:pStyle w:val="NoSpacing"/>
        <w:rPr>
          <w:szCs w:val="24"/>
        </w:rPr>
      </w:pPr>
    </w:p>
    <w:p w14:paraId="084599F7" w14:textId="77777777" w:rsidR="002A76D7" w:rsidRPr="001B3304" w:rsidRDefault="002A76D7" w:rsidP="004358F8">
      <w:pPr>
        <w:pStyle w:val="Heading3"/>
      </w:pPr>
      <w:bookmarkStart w:id="21" w:name="_Toc134294061"/>
      <w:proofErr w:type="spellStart"/>
      <w:r w:rsidRPr="001B3304">
        <w:t>Mens</w:t>
      </w:r>
      <w:proofErr w:type="spellEnd"/>
      <w:r w:rsidRPr="001B3304">
        <w:t xml:space="preserve"> Rea</w:t>
      </w:r>
      <w:bookmarkEnd w:id="21"/>
    </w:p>
    <w:p w14:paraId="7130466F" w14:textId="77777777" w:rsidR="002A76D7" w:rsidRPr="001B3304" w:rsidRDefault="002A76D7" w:rsidP="003E1822">
      <w:pPr>
        <w:pStyle w:val="NoSpacing"/>
        <w:rPr>
          <w:szCs w:val="24"/>
        </w:rPr>
      </w:pPr>
    </w:p>
    <w:p w14:paraId="640B08E2" w14:textId="77777777" w:rsidR="002A76D7" w:rsidRPr="001B3304" w:rsidRDefault="002A76D7" w:rsidP="003E1822">
      <w:pPr>
        <w:pStyle w:val="NoSpacing"/>
        <w:rPr>
          <w:szCs w:val="24"/>
        </w:rPr>
      </w:pPr>
      <w:r w:rsidRPr="001B3304">
        <w:rPr>
          <w:szCs w:val="24"/>
        </w:rPr>
        <w:t>S. 88(1) is a “specific intent” offence requiring proof that the appellant’s subjective purpose in possessing the weapon was objectively dangerous to the public peace: </w:t>
      </w:r>
      <w:r w:rsidRPr="001B3304">
        <w:rPr>
          <w:i/>
          <w:iCs/>
          <w:szCs w:val="24"/>
        </w:rPr>
        <w:t>R v Andrade</w:t>
      </w:r>
      <w:r w:rsidRPr="001B3304">
        <w:rPr>
          <w:szCs w:val="24"/>
        </w:rPr>
        <w:t xml:space="preserve">, </w:t>
      </w:r>
      <w:r w:rsidRPr="001B3304">
        <w:rPr>
          <w:szCs w:val="24"/>
          <w:u w:val="single"/>
        </w:rPr>
        <w:t>2015 ONCA 499</w:t>
      </w:r>
      <w:r w:rsidRPr="001B3304">
        <w:rPr>
          <w:szCs w:val="24"/>
        </w:rPr>
        <w:t> at paras 15, 35</w:t>
      </w:r>
    </w:p>
    <w:p w14:paraId="1660A9FC" w14:textId="77777777" w:rsidR="002A76D7" w:rsidRPr="001B3304" w:rsidRDefault="002A76D7" w:rsidP="003E1822">
      <w:pPr>
        <w:pStyle w:val="NoSpacing"/>
        <w:rPr>
          <w:szCs w:val="24"/>
        </w:rPr>
      </w:pPr>
    </w:p>
    <w:p w14:paraId="1565E0E5" w14:textId="77777777" w:rsidR="002A76D7" w:rsidRPr="001B3304" w:rsidRDefault="002A76D7" w:rsidP="003E1822">
      <w:pPr>
        <w:pStyle w:val="NoSpacing"/>
        <w:rPr>
          <w:szCs w:val="24"/>
        </w:rPr>
      </w:pPr>
      <w:r w:rsidRPr="001B3304">
        <w:rPr>
          <w:szCs w:val="24"/>
        </w:rPr>
        <w:t>The trier of fact must find that the appellant possessed the weapon for a purpose dangerous to the public peace – not just for a dangerous purpose. The purpose must be determined at the instant of time which preceded the use of the weapon: </w:t>
      </w:r>
      <w:r w:rsidRPr="001B3304">
        <w:rPr>
          <w:i/>
          <w:iCs/>
          <w:szCs w:val="24"/>
        </w:rPr>
        <w:t>R v </w:t>
      </w:r>
      <w:proofErr w:type="spellStart"/>
      <w:r w:rsidRPr="001B3304">
        <w:rPr>
          <w:i/>
          <w:iCs/>
          <w:szCs w:val="24"/>
        </w:rPr>
        <w:t>Budhoo</w:t>
      </w:r>
      <w:proofErr w:type="spellEnd"/>
      <w:r w:rsidRPr="001B3304">
        <w:rPr>
          <w:szCs w:val="24"/>
        </w:rPr>
        <w:t xml:space="preserve">, </w:t>
      </w:r>
      <w:r w:rsidRPr="001B3304">
        <w:rPr>
          <w:szCs w:val="24"/>
          <w:u w:val="single"/>
        </w:rPr>
        <w:t>2015 ONCA 912</w:t>
      </w:r>
      <w:r w:rsidRPr="001B3304">
        <w:rPr>
          <w:szCs w:val="24"/>
        </w:rPr>
        <w:t> at paras 72-73</w:t>
      </w:r>
    </w:p>
    <w:p w14:paraId="00717B73" w14:textId="77777777" w:rsidR="002A76D7" w:rsidRPr="001B3304" w:rsidRDefault="002A76D7" w:rsidP="003E1822">
      <w:pPr>
        <w:pStyle w:val="NoSpacing"/>
        <w:rPr>
          <w:szCs w:val="24"/>
        </w:rPr>
      </w:pPr>
    </w:p>
    <w:p w14:paraId="1C999E7B" w14:textId="77777777" w:rsidR="002A76D7" w:rsidRPr="001B3304" w:rsidRDefault="002A76D7" w:rsidP="003E1822">
      <w:pPr>
        <w:pStyle w:val="NoSpacing"/>
        <w:rPr>
          <w:szCs w:val="24"/>
        </w:rPr>
      </w:pPr>
      <w:r w:rsidRPr="001B3304">
        <w:rPr>
          <w:szCs w:val="24"/>
        </w:rPr>
        <w:t xml:space="preserve">In other words, the Crown must prove the accused had possession of the weapon and formed the intention to use if for a dangerous purpose prior to its actual use: </w:t>
      </w:r>
      <w:r w:rsidRPr="001B3304">
        <w:rPr>
          <w:i/>
          <w:szCs w:val="24"/>
        </w:rPr>
        <w:t xml:space="preserve">R v Horner, </w:t>
      </w:r>
      <w:hyperlink r:id="rId10" w:history="1">
        <w:r w:rsidRPr="001B3304">
          <w:rPr>
            <w:rStyle w:val="Hyperlink"/>
            <w:szCs w:val="24"/>
          </w:rPr>
          <w:t>2018 ONCA 971</w:t>
        </w:r>
      </w:hyperlink>
      <w:r w:rsidRPr="001B3304">
        <w:rPr>
          <w:szCs w:val="24"/>
        </w:rPr>
        <w:t>, at para 21</w:t>
      </w:r>
    </w:p>
    <w:p w14:paraId="4C6194E6" w14:textId="77777777" w:rsidR="002A76D7" w:rsidRPr="001B3304" w:rsidRDefault="002A76D7" w:rsidP="003E1822">
      <w:pPr>
        <w:pStyle w:val="NoSpacing"/>
        <w:rPr>
          <w:szCs w:val="24"/>
        </w:rPr>
      </w:pPr>
    </w:p>
    <w:p w14:paraId="569A1415" w14:textId="77777777" w:rsidR="002A76D7" w:rsidRPr="001B3304" w:rsidRDefault="002A76D7" w:rsidP="003E1822">
      <w:pPr>
        <w:pStyle w:val="NoSpacing"/>
        <w:rPr>
          <w:szCs w:val="24"/>
        </w:rPr>
      </w:pPr>
      <w:r w:rsidRPr="001B3304">
        <w:rPr>
          <w:szCs w:val="24"/>
        </w:rPr>
        <w:lastRenderedPageBreak/>
        <w:t xml:space="preserve">That being said, accused persons who initially possess a weapon with a non-dangerous purpose may be convicted if their purpose subsequently becomes dangerous: </w:t>
      </w:r>
      <w:r w:rsidRPr="001B3304">
        <w:rPr>
          <w:i/>
          <w:szCs w:val="24"/>
        </w:rPr>
        <w:t xml:space="preserve">Horner </w:t>
      </w:r>
      <w:r w:rsidRPr="001B3304">
        <w:rPr>
          <w:szCs w:val="24"/>
        </w:rPr>
        <w:t>at para 22</w:t>
      </w:r>
    </w:p>
    <w:p w14:paraId="70014796" w14:textId="77777777" w:rsidR="002A76D7" w:rsidRPr="001B3304" w:rsidRDefault="002A76D7" w:rsidP="003E1822">
      <w:pPr>
        <w:pStyle w:val="NoSpacing"/>
        <w:rPr>
          <w:szCs w:val="24"/>
        </w:rPr>
      </w:pPr>
    </w:p>
    <w:p w14:paraId="7C243D26" w14:textId="77777777" w:rsidR="002A76D7" w:rsidRPr="001B3304" w:rsidRDefault="002A76D7" w:rsidP="003E1822">
      <w:pPr>
        <w:pStyle w:val="NoSpacing"/>
        <w:rPr>
          <w:szCs w:val="24"/>
        </w:rPr>
      </w:pPr>
    </w:p>
    <w:p w14:paraId="154ADE28" w14:textId="77777777" w:rsidR="002A76D7" w:rsidRPr="001B3304" w:rsidRDefault="002A76D7" w:rsidP="003E1822">
      <w:pPr>
        <w:pStyle w:val="NoSpacing"/>
        <w:rPr>
          <w:szCs w:val="24"/>
        </w:rPr>
      </w:pPr>
      <w:r w:rsidRPr="001B3304">
        <w:rPr>
          <w:szCs w:val="24"/>
        </w:rPr>
        <w:t xml:space="preserve">The fact that a weapon was used in a manner dangerous to the public peace does itself constitute the offence - but the formation of the unlawful purpose may be inferred from the circumstances in which the weapon was used: </w:t>
      </w:r>
      <w:r w:rsidRPr="001B3304">
        <w:rPr>
          <w:i/>
          <w:iCs/>
          <w:szCs w:val="24"/>
        </w:rPr>
        <w:t>R v </w:t>
      </w:r>
      <w:proofErr w:type="spellStart"/>
      <w:r w:rsidRPr="001B3304">
        <w:rPr>
          <w:i/>
          <w:iCs/>
          <w:szCs w:val="24"/>
        </w:rPr>
        <w:t>Budhoo</w:t>
      </w:r>
      <w:proofErr w:type="spellEnd"/>
      <w:r w:rsidRPr="001B3304">
        <w:rPr>
          <w:szCs w:val="24"/>
        </w:rPr>
        <w:t xml:space="preserve">, </w:t>
      </w:r>
      <w:r w:rsidRPr="001B3304">
        <w:rPr>
          <w:szCs w:val="24"/>
          <w:u w:val="single"/>
        </w:rPr>
        <w:t>2015 ONCA 912</w:t>
      </w:r>
      <w:r w:rsidRPr="001B3304">
        <w:rPr>
          <w:szCs w:val="24"/>
        </w:rPr>
        <w:t> at para 73</w:t>
      </w:r>
    </w:p>
    <w:p w14:paraId="7439680A" w14:textId="77777777" w:rsidR="002A76D7" w:rsidRPr="001B3304" w:rsidRDefault="002A76D7" w:rsidP="003E1822">
      <w:pPr>
        <w:spacing w:line="276" w:lineRule="auto"/>
        <w:rPr>
          <w:rFonts w:ascii="Arial" w:hAnsi="Arial" w:cs="Arial"/>
          <w:color w:val="000000"/>
        </w:rPr>
      </w:pPr>
    </w:p>
    <w:p w14:paraId="59593AB9" w14:textId="77777777" w:rsidR="002A76D7" w:rsidRPr="001B3304" w:rsidRDefault="002A76D7" w:rsidP="003E1822">
      <w:pPr>
        <w:pStyle w:val="NoSpacing"/>
        <w:rPr>
          <w:szCs w:val="24"/>
        </w:rPr>
      </w:pPr>
      <w:r w:rsidRPr="001B3304">
        <w:rPr>
          <w:szCs w:val="24"/>
        </w:rPr>
        <w:t xml:space="preserve">it is a purpose dangerous to the public peace to intentionally threaten to do an act which is likely to cause harm or puts another person in fear of harm. Similarly, the intention to possess a weapon for the purpose of threatening another person satisfies the purpose dangerous requirement: </w:t>
      </w:r>
      <w:r w:rsidRPr="001B3304">
        <w:rPr>
          <w:i/>
          <w:szCs w:val="24"/>
        </w:rPr>
        <w:t xml:space="preserve">Horner </w:t>
      </w:r>
      <w:r w:rsidRPr="001B3304">
        <w:rPr>
          <w:szCs w:val="24"/>
        </w:rPr>
        <w:t>at para 23</w:t>
      </w:r>
    </w:p>
    <w:p w14:paraId="4F2EA50C" w14:textId="77777777" w:rsidR="002A76D7" w:rsidRPr="001B3304" w:rsidRDefault="002A76D7" w:rsidP="003E1822">
      <w:pPr>
        <w:spacing w:before="100" w:beforeAutospacing="1" w:after="100" w:afterAutospacing="1" w:line="276" w:lineRule="auto"/>
        <w:rPr>
          <w:rFonts w:ascii="Arial" w:hAnsi="Arial" w:cs="Arial"/>
        </w:rPr>
      </w:pPr>
    </w:p>
    <w:p w14:paraId="4B7E8F08" w14:textId="77777777" w:rsidR="002A76D7" w:rsidRPr="001B3304" w:rsidRDefault="002A76D7" w:rsidP="003E1822">
      <w:pPr>
        <w:pStyle w:val="Heading2"/>
        <w:spacing w:line="276" w:lineRule="auto"/>
      </w:pPr>
      <w:bookmarkStart w:id="22" w:name="_Toc134294062"/>
      <w:r w:rsidRPr="001B3304">
        <w:t xml:space="preserve">Possession of a Weapon or Firearm Obtained by Commission of Offence: </w:t>
      </w:r>
      <w:r w:rsidRPr="001B3304">
        <w:rPr>
          <w:u w:val="single"/>
        </w:rPr>
        <w:t>S. 96(2)</w:t>
      </w:r>
      <w:bookmarkEnd w:id="22"/>
    </w:p>
    <w:p w14:paraId="4E574509" w14:textId="77777777" w:rsidR="00777315" w:rsidRPr="001B3304" w:rsidRDefault="00777315" w:rsidP="003E1822">
      <w:pPr>
        <w:pStyle w:val="NoSpacing"/>
        <w:rPr>
          <w:szCs w:val="24"/>
        </w:rPr>
      </w:pPr>
    </w:p>
    <w:p w14:paraId="5141FF4C" w14:textId="5AD59238" w:rsidR="002A76D7" w:rsidRPr="001B3304" w:rsidRDefault="002A76D7" w:rsidP="003E1822">
      <w:pPr>
        <w:pStyle w:val="NoSpacing"/>
        <w:rPr>
          <w:szCs w:val="24"/>
        </w:rPr>
      </w:pPr>
      <w:r w:rsidRPr="001B3304">
        <w:rPr>
          <w:szCs w:val="24"/>
        </w:rPr>
        <w:t xml:space="preserve">The elements of the offence are: </w:t>
      </w:r>
    </w:p>
    <w:p w14:paraId="6BEBD4D5" w14:textId="77777777" w:rsidR="002A76D7" w:rsidRPr="001B3304" w:rsidRDefault="002A76D7" w:rsidP="003E1822">
      <w:pPr>
        <w:pStyle w:val="NoSpacing"/>
        <w:numPr>
          <w:ilvl w:val="0"/>
          <w:numId w:val="8"/>
        </w:numPr>
        <w:rPr>
          <w:szCs w:val="24"/>
        </w:rPr>
      </w:pPr>
      <w:r w:rsidRPr="001B3304">
        <w:rPr>
          <w:szCs w:val="24"/>
        </w:rPr>
        <w:t>The accused was in possession of a firearm </w:t>
      </w:r>
    </w:p>
    <w:p w14:paraId="5150E17E" w14:textId="77777777" w:rsidR="002A76D7" w:rsidRPr="001B3304" w:rsidRDefault="002A76D7" w:rsidP="003E1822">
      <w:pPr>
        <w:pStyle w:val="NoSpacing"/>
        <w:numPr>
          <w:ilvl w:val="0"/>
          <w:numId w:val="8"/>
        </w:numPr>
        <w:rPr>
          <w:szCs w:val="24"/>
        </w:rPr>
      </w:pPr>
      <w:r w:rsidRPr="001B3304">
        <w:rPr>
          <w:szCs w:val="24"/>
        </w:rPr>
        <w:t>The firearm was obtained by crime; and</w:t>
      </w:r>
    </w:p>
    <w:p w14:paraId="26E79131" w14:textId="77777777" w:rsidR="002A76D7" w:rsidRPr="001B3304" w:rsidRDefault="002A76D7" w:rsidP="003E1822">
      <w:pPr>
        <w:pStyle w:val="NoSpacing"/>
        <w:numPr>
          <w:ilvl w:val="0"/>
          <w:numId w:val="8"/>
        </w:numPr>
        <w:rPr>
          <w:szCs w:val="24"/>
        </w:rPr>
      </w:pPr>
      <w:r w:rsidRPr="001B3304">
        <w:rPr>
          <w:szCs w:val="24"/>
        </w:rPr>
        <w:t xml:space="preserve">The accused knew or was </w:t>
      </w:r>
      <w:proofErr w:type="spellStart"/>
      <w:r w:rsidRPr="001B3304">
        <w:rPr>
          <w:szCs w:val="24"/>
        </w:rPr>
        <w:t>wilfully</w:t>
      </w:r>
      <w:proofErr w:type="spellEnd"/>
      <w:r w:rsidRPr="001B3304">
        <w:rPr>
          <w:szCs w:val="24"/>
        </w:rPr>
        <w:t xml:space="preserve"> blind as to whether that the firearm had been obtained by crime: </w:t>
      </w:r>
      <w:r w:rsidRPr="001B3304">
        <w:rPr>
          <w:i/>
          <w:iCs/>
          <w:szCs w:val="24"/>
        </w:rPr>
        <w:t>R v Jean, </w:t>
      </w:r>
      <w:r w:rsidRPr="001B3304">
        <w:rPr>
          <w:szCs w:val="24"/>
          <w:u w:val="single"/>
        </w:rPr>
        <w:t>2016 ONCA 137</w:t>
      </w:r>
      <w:r w:rsidRPr="001B3304">
        <w:rPr>
          <w:szCs w:val="24"/>
        </w:rPr>
        <w:t xml:space="preserve"> at paras 10-11</w:t>
      </w:r>
    </w:p>
    <w:p w14:paraId="1CB9C64A" w14:textId="77777777" w:rsidR="002A76D7" w:rsidRPr="001B3304" w:rsidRDefault="002A76D7" w:rsidP="003E1822">
      <w:pPr>
        <w:pStyle w:val="NoSpacing"/>
        <w:rPr>
          <w:szCs w:val="24"/>
        </w:rPr>
      </w:pPr>
    </w:p>
    <w:p w14:paraId="1DF8D549" w14:textId="77777777" w:rsidR="002A76D7" w:rsidRPr="001B3304" w:rsidRDefault="002A76D7" w:rsidP="003E1822">
      <w:pPr>
        <w:pStyle w:val="NoSpacing"/>
        <w:rPr>
          <w:szCs w:val="24"/>
        </w:rPr>
      </w:pPr>
      <w:r w:rsidRPr="001B3304">
        <w:rPr>
          <w:szCs w:val="24"/>
        </w:rPr>
        <w:t>The knowledge that the weapon was obtained by crime requires more than that the accused knows that his possession is illegal (e.g., because he does not have a valid license. The accused must:</w:t>
      </w:r>
    </w:p>
    <w:p w14:paraId="6E1B012C" w14:textId="77777777" w:rsidR="002A76D7" w:rsidRPr="001B3304" w:rsidRDefault="002A76D7" w:rsidP="003E1822">
      <w:pPr>
        <w:pStyle w:val="NoSpacing"/>
        <w:numPr>
          <w:ilvl w:val="0"/>
          <w:numId w:val="9"/>
        </w:numPr>
        <w:rPr>
          <w:szCs w:val="24"/>
        </w:rPr>
      </w:pPr>
      <w:r w:rsidRPr="001B3304">
        <w:rPr>
          <w:szCs w:val="24"/>
        </w:rPr>
        <w:t>know that the firearm was "obtained" by the commission of an offence that he committed (e.g., theft); OR</w:t>
      </w:r>
    </w:p>
    <w:p w14:paraId="1D08E2E8" w14:textId="77777777" w:rsidR="002A76D7" w:rsidRPr="001B3304" w:rsidRDefault="002A76D7" w:rsidP="003E1822">
      <w:pPr>
        <w:pStyle w:val="NoSpacing"/>
        <w:numPr>
          <w:ilvl w:val="0"/>
          <w:numId w:val="9"/>
        </w:numPr>
        <w:rPr>
          <w:szCs w:val="24"/>
        </w:rPr>
      </w:pPr>
      <w:r w:rsidRPr="001B3304">
        <w:rPr>
          <w:szCs w:val="24"/>
        </w:rPr>
        <w:t>he must know that he is obtaining from another who obtained the firearm by the commission of an offence (e.g., knowing purchasing from someone he knows stole the firearm: </w:t>
      </w:r>
      <w:r w:rsidRPr="001B3304">
        <w:rPr>
          <w:i/>
          <w:iCs/>
          <w:szCs w:val="24"/>
        </w:rPr>
        <w:t>R v Jean, </w:t>
      </w:r>
      <w:r w:rsidRPr="001B3304">
        <w:rPr>
          <w:szCs w:val="24"/>
          <w:u w:val="single"/>
        </w:rPr>
        <w:t>2016 ONCA 137</w:t>
      </w:r>
      <w:r w:rsidRPr="001B3304">
        <w:rPr>
          <w:szCs w:val="24"/>
        </w:rPr>
        <w:t xml:space="preserve"> at para 14</w:t>
      </w:r>
    </w:p>
    <w:p w14:paraId="78F5A3BD" w14:textId="2BEEA249" w:rsidR="002A76D7" w:rsidRPr="001B3304" w:rsidRDefault="002A76D7" w:rsidP="003E1822">
      <w:pPr>
        <w:spacing w:before="100" w:beforeAutospacing="1" w:after="100" w:afterAutospacing="1" w:line="276" w:lineRule="auto"/>
        <w:rPr>
          <w:rFonts w:ascii="Arial" w:hAnsi="Arial" w:cs="Arial"/>
        </w:rPr>
      </w:pPr>
    </w:p>
    <w:p w14:paraId="414D3784" w14:textId="77777777" w:rsidR="002A76D7" w:rsidRPr="001B3304" w:rsidRDefault="002A76D7" w:rsidP="003E1822">
      <w:pPr>
        <w:widowControl w:val="0"/>
        <w:autoSpaceDE w:val="0"/>
        <w:autoSpaceDN w:val="0"/>
        <w:adjustRightInd w:val="0"/>
        <w:spacing w:line="276" w:lineRule="auto"/>
        <w:rPr>
          <w:rFonts w:ascii="Arial" w:hAnsi="Arial" w:cs="Arial"/>
        </w:rPr>
      </w:pPr>
    </w:p>
    <w:p w14:paraId="7BEBFA6F" w14:textId="01BC3D6E" w:rsidR="00CF0714" w:rsidRPr="001B3304" w:rsidRDefault="003E1305" w:rsidP="003E1822">
      <w:pPr>
        <w:pStyle w:val="Heading1"/>
        <w:spacing w:line="276" w:lineRule="auto"/>
        <w:rPr>
          <w:rFonts w:ascii="Arial" w:hAnsi="Arial" w:cs="Arial"/>
          <w:sz w:val="24"/>
          <w:szCs w:val="24"/>
        </w:rPr>
      </w:pPr>
      <w:bookmarkStart w:id="23" w:name="_Toc134294063"/>
      <w:r w:rsidRPr="001B3304">
        <w:rPr>
          <w:rFonts w:ascii="Arial" w:hAnsi="Arial" w:cs="Arial"/>
          <w:sz w:val="24"/>
          <w:szCs w:val="24"/>
        </w:rPr>
        <w:lastRenderedPageBreak/>
        <w:t>PART IV: OFFENCES AGAINST THE ADMINISTRATION OF LAW AND JUSTICE</w:t>
      </w:r>
      <w:bookmarkEnd w:id="23"/>
    </w:p>
    <w:p w14:paraId="26F38157" w14:textId="77777777" w:rsidR="00CF0714" w:rsidRPr="001B3304" w:rsidRDefault="00CF0714" w:rsidP="003E1822">
      <w:pPr>
        <w:spacing w:line="276" w:lineRule="auto"/>
        <w:rPr>
          <w:rFonts w:ascii="Arial" w:hAnsi="Arial" w:cs="Arial"/>
        </w:rPr>
      </w:pPr>
    </w:p>
    <w:p w14:paraId="66B5BABF" w14:textId="3889513F" w:rsidR="00CF0714" w:rsidRPr="001B3304" w:rsidRDefault="00DD6403" w:rsidP="003E1822">
      <w:pPr>
        <w:pStyle w:val="Heading2"/>
        <w:numPr>
          <w:ilvl w:val="0"/>
          <w:numId w:val="16"/>
        </w:numPr>
        <w:spacing w:line="276" w:lineRule="auto"/>
      </w:pPr>
      <w:bookmarkStart w:id="24" w:name="_Toc134294064"/>
      <w:r w:rsidRPr="001B3304">
        <w:t>B</w:t>
      </w:r>
      <w:r w:rsidR="00CF0714" w:rsidRPr="001B3304">
        <w:t xml:space="preserve">reach of </w:t>
      </w:r>
      <w:r w:rsidR="00457CBD" w:rsidRPr="001B3304">
        <w:t>T</w:t>
      </w:r>
      <w:r w:rsidR="00CF0714" w:rsidRPr="001B3304">
        <w:t xml:space="preserve">rust by </w:t>
      </w:r>
      <w:r w:rsidR="00457CBD" w:rsidRPr="001B3304">
        <w:t>P</w:t>
      </w:r>
      <w:r w:rsidR="00CF0714" w:rsidRPr="001B3304">
        <w:t xml:space="preserve">ublic </w:t>
      </w:r>
      <w:r w:rsidR="00457CBD" w:rsidRPr="001B3304">
        <w:t>O</w:t>
      </w:r>
      <w:r w:rsidR="00CF0714" w:rsidRPr="001B3304">
        <w:t>fficer: s.122</w:t>
      </w:r>
      <w:bookmarkEnd w:id="24"/>
    </w:p>
    <w:p w14:paraId="64CA30EA" w14:textId="77777777" w:rsidR="00CF0714" w:rsidRPr="001B3304" w:rsidRDefault="00CF0714" w:rsidP="003E1822">
      <w:pPr>
        <w:spacing w:line="276" w:lineRule="auto"/>
        <w:rPr>
          <w:rFonts w:ascii="Arial" w:hAnsi="Arial" w:cs="Arial"/>
        </w:rPr>
      </w:pPr>
    </w:p>
    <w:p w14:paraId="2B65E415" w14:textId="1A947E2D" w:rsidR="005647C7" w:rsidRPr="001B3304" w:rsidRDefault="005647C7" w:rsidP="003E1822">
      <w:pPr>
        <w:pStyle w:val="NoSpacing"/>
        <w:rPr>
          <w:szCs w:val="24"/>
        </w:rPr>
      </w:pPr>
      <w:r w:rsidRPr="001B3304">
        <w:rPr>
          <w:szCs w:val="24"/>
        </w:rPr>
        <w:t>Section 122 of the Criminal Code provides:</w:t>
      </w:r>
    </w:p>
    <w:p w14:paraId="7EEBD616" w14:textId="77777777" w:rsidR="005647C7" w:rsidRPr="001B3304" w:rsidRDefault="005647C7" w:rsidP="003E1822">
      <w:pPr>
        <w:pStyle w:val="NoSpacing"/>
        <w:ind w:left="720"/>
        <w:rPr>
          <w:szCs w:val="24"/>
        </w:rPr>
      </w:pPr>
      <w:r w:rsidRPr="001B3304">
        <w:rPr>
          <w:szCs w:val="24"/>
        </w:rPr>
        <w:t>Every official who, in connection with the duties of his office, commits fraud or a breach of trust is guilty of an indictable offence and liable to imprisonment for a term not exceeding five years, whether or not the fraud or breach of trust would be an offence if it were committed in relation to a private person.</w:t>
      </w:r>
    </w:p>
    <w:p w14:paraId="4A45A857" w14:textId="77777777" w:rsidR="005647C7" w:rsidRPr="001B3304" w:rsidRDefault="005647C7" w:rsidP="003E1822">
      <w:pPr>
        <w:pStyle w:val="NoSpacing"/>
        <w:rPr>
          <w:szCs w:val="24"/>
        </w:rPr>
      </w:pPr>
    </w:p>
    <w:p w14:paraId="3BC360B1" w14:textId="38810FBD" w:rsidR="00CF0714" w:rsidRPr="001B3304" w:rsidRDefault="00CF0714" w:rsidP="003E1822">
      <w:pPr>
        <w:pStyle w:val="NoSpacing"/>
        <w:rPr>
          <w:szCs w:val="24"/>
        </w:rPr>
      </w:pPr>
      <w:r w:rsidRPr="001B3304">
        <w:rPr>
          <w:szCs w:val="24"/>
        </w:rPr>
        <w:t>The elements of the offence of breach of trust by a public officer are as follows:</w:t>
      </w:r>
    </w:p>
    <w:p w14:paraId="51613E6A" w14:textId="77777777" w:rsidR="00CF0714" w:rsidRPr="001B3304" w:rsidRDefault="00CF0714" w:rsidP="003E1822">
      <w:pPr>
        <w:pStyle w:val="NoSpacing"/>
        <w:numPr>
          <w:ilvl w:val="0"/>
          <w:numId w:val="14"/>
        </w:numPr>
        <w:rPr>
          <w:rFonts w:eastAsia="Times New Roman"/>
          <w:szCs w:val="24"/>
        </w:rPr>
      </w:pPr>
      <w:r w:rsidRPr="001B3304">
        <w:rPr>
          <w:rFonts w:eastAsia="Times New Roman"/>
          <w:bCs/>
          <w:szCs w:val="24"/>
        </w:rPr>
        <w:t>The accused is an official;</w:t>
      </w:r>
    </w:p>
    <w:p w14:paraId="1AA459BA" w14:textId="77777777" w:rsidR="00CF0714" w:rsidRPr="001B3304" w:rsidRDefault="00CF0714" w:rsidP="003E1822">
      <w:pPr>
        <w:pStyle w:val="NoSpacing"/>
        <w:numPr>
          <w:ilvl w:val="0"/>
          <w:numId w:val="14"/>
        </w:numPr>
        <w:rPr>
          <w:rFonts w:eastAsia="Times New Roman"/>
          <w:szCs w:val="24"/>
        </w:rPr>
      </w:pPr>
      <w:r w:rsidRPr="001B3304">
        <w:rPr>
          <w:rFonts w:eastAsia="Times New Roman"/>
          <w:bCs/>
          <w:szCs w:val="24"/>
        </w:rPr>
        <w:t>The accused was acting in connection with the duties of his or her office;</w:t>
      </w:r>
    </w:p>
    <w:p w14:paraId="2E12F9A8" w14:textId="77777777" w:rsidR="00CF0714" w:rsidRPr="001B3304" w:rsidRDefault="00CF0714" w:rsidP="003E1822">
      <w:pPr>
        <w:pStyle w:val="NoSpacing"/>
        <w:numPr>
          <w:ilvl w:val="0"/>
          <w:numId w:val="14"/>
        </w:numPr>
        <w:rPr>
          <w:rFonts w:eastAsia="Times New Roman"/>
          <w:szCs w:val="24"/>
        </w:rPr>
      </w:pPr>
      <w:r w:rsidRPr="001B3304">
        <w:rPr>
          <w:rFonts w:eastAsia="Times New Roman"/>
          <w:bCs/>
          <w:szCs w:val="24"/>
        </w:rPr>
        <w:t>The accused breached the standard of responsibility and conduct demanded of him or her by the nature of the office;</w:t>
      </w:r>
    </w:p>
    <w:p w14:paraId="290067A4" w14:textId="77777777" w:rsidR="00CF0714" w:rsidRPr="001B3304" w:rsidRDefault="00CF0714" w:rsidP="003E1822">
      <w:pPr>
        <w:pStyle w:val="NoSpacing"/>
        <w:numPr>
          <w:ilvl w:val="0"/>
          <w:numId w:val="14"/>
        </w:numPr>
        <w:rPr>
          <w:rFonts w:eastAsia="Times New Roman"/>
          <w:szCs w:val="24"/>
        </w:rPr>
      </w:pPr>
      <w:r w:rsidRPr="001B3304">
        <w:rPr>
          <w:rFonts w:eastAsia="Times New Roman"/>
          <w:bCs/>
          <w:szCs w:val="24"/>
        </w:rPr>
        <w:t>The conduct of the accused represented a serious and marked departure from the standards expected of an individual in the accused’s position of public trust; and</w:t>
      </w:r>
    </w:p>
    <w:p w14:paraId="0F94CE9B" w14:textId="7891BD9D" w:rsidR="00CF0714" w:rsidRPr="001B3304" w:rsidRDefault="00CF0714" w:rsidP="003E1822">
      <w:pPr>
        <w:pStyle w:val="NoSpacing"/>
        <w:numPr>
          <w:ilvl w:val="0"/>
          <w:numId w:val="14"/>
        </w:numPr>
        <w:rPr>
          <w:rFonts w:eastAsia="Times New Roman"/>
          <w:szCs w:val="24"/>
        </w:rPr>
      </w:pPr>
      <w:r w:rsidRPr="001B3304">
        <w:rPr>
          <w:rFonts w:eastAsia="Times New Roman"/>
          <w:bCs/>
          <w:szCs w:val="24"/>
        </w:rPr>
        <w:t xml:space="preserve">The accused acted with the intention to use his or her public office for a purpose other than the public good, for example, for a dishonest, partial, corrupt, or oppressive purpose: </w:t>
      </w:r>
      <w:r w:rsidRPr="001B3304">
        <w:rPr>
          <w:rFonts w:eastAsia="Times New Roman"/>
          <w:bCs/>
          <w:i/>
          <w:szCs w:val="24"/>
        </w:rPr>
        <w:t xml:space="preserve">R v Upjohn, </w:t>
      </w:r>
      <w:hyperlink r:id="rId11" w:history="1">
        <w:r w:rsidRPr="001B3304">
          <w:rPr>
            <w:rStyle w:val="Hyperlink"/>
            <w:rFonts w:eastAsia="Times New Roman"/>
            <w:bCs/>
            <w:szCs w:val="24"/>
          </w:rPr>
          <w:t>2018 ONCA 1059</w:t>
        </w:r>
      </w:hyperlink>
      <w:r w:rsidRPr="001B3304">
        <w:rPr>
          <w:rFonts w:eastAsia="Times New Roman"/>
          <w:bCs/>
          <w:szCs w:val="24"/>
        </w:rPr>
        <w:t>, at para 6</w:t>
      </w:r>
      <w:r w:rsidR="005647C7" w:rsidRPr="001B3304">
        <w:rPr>
          <w:rFonts w:eastAsia="Times New Roman"/>
          <w:bCs/>
          <w:szCs w:val="24"/>
        </w:rPr>
        <w:t xml:space="preserve">; </w:t>
      </w:r>
      <w:r w:rsidR="005647C7" w:rsidRPr="001B3304">
        <w:rPr>
          <w:rFonts w:eastAsia="Times New Roman"/>
          <w:bCs/>
          <w:i/>
          <w:iCs/>
          <w:szCs w:val="24"/>
        </w:rPr>
        <w:t xml:space="preserve">R v Darnley, </w:t>
      </w:r>
      <w:hyperlink r:id="rId12" w:history="1">
        <w:r w:rsidR="005647C7" w:rsidRPr="001B3304">
          <w:rPr>
            <w:rStyle w:val="Hyperlink"/>
            <w:rFonts w:eastAsia="Times New Roman"/>
            <w:bCs/>
            <w:szCs w:val="24"/>
          </w:rPr>
          <w:t>2020 ONCA 179,</w:t>
        </w:r>
      </w:hyperlink>
      <w:r w:rsidR="005647C7" w:rsidRPr="001B3304">
        <w:rPr>
          <w:rFonts w:eastAsia="Times New Roman"/>
          <w:bCs/>
          <w:szCs w:val="24"/>
        </w:rPr>
        <w:t xml:space="preserve"> at para 8</w:t>
      </w:r>
      <w:r w:rsidR="007D4B4E" w:rsidRPr="001B3304">
        <w:rPr>
          <w:rFonts w:eastAsia="Times New Roman"/>
          <w:bCs/>
          <w:szCs w:val="24"/>
        </w:rPr>
        <w:t xml:space="preserve">; </w:t>
      </w:r>
      <w:r w:rsidR="007D4B4E" w:rsidRPr="001B3304">
        <w:rPr>
          <w:rFonts w:eastAsia="Times New Roman"/>
          <w:bCs/>
          <w:i/>
          <w:iCs/>
          <w:szCs w:val="24"/>
        </w:rPr>
        <w:t xml:space="preserve">R v </w:t>
      </w:r>
      <w:proofErr w:type="spellStart"/>
      <w:r w:rsidR="007D4B4E" w:rsidRPr="001B3304">
        <w:rPr>
          <w:rFonts w:eastAsia="Times New Roman"/>
          <w:bCs/>
          <w:i/>
          <w:iCs/>
          <w:szCs w:val="24"/>
        </w:rPr>
        <w:t>Petrolo</w:t>
      </w:r>
      <w:proofErr w:type="spellEnd"/>
      <w:r w:rsidR="007D4B4E" w:rsidRPr="001B3304">
        <w:rPr>
          <w:rFonts w:eastAsia="Times New Roman"/>
          <w:bCs/>
          <w:i/>
          <w:iCs/>
          <w:szCs w:val="24"/>
        </w:rPr>
        <w:t xml:space="preserve">, </w:t>
      </w:r>
      <w:hyperlink r:id="rId13" w:history="1">
        <w:r w:rsidR="007D4B4E" w:rsidRPr="001B3304">
          <w:rPr>
            <w:rStyle w:val="Hyperlink"/>
            <w:rFonts w:eastAsia="Times New Roman"/>
            <w:bCs/>
            <w:szCs w:val="24"/>
          </w:rPr>
          <w:t>2021 ONCA 498</w:t>
        </w:r>
      </w:hyperlink>
      <w:r w:rsidR="007D4B4E" w:rsidRPr="001B3304">
        <w:rPr>
          <w:rFonts w:eastAsia="Times New Roman"/>
          <w:bCs/>
          <w:szCs w:val="24"/>
        </w:rPr>
        <w:t>, at para 40</w:t>
      </w:r>
    </w:p>
    <w:p w14:paraId="7B406E9C" w14:textId="77777777" w:rsidR="000B4DFC" w:rsidRPr="001B3304" w:rsidRDefault="000B4DFC" w:rsidP="003E1822">
      <w:pPr>
        <w:pStyle w:val="NoSpacing"/>
        <w:rPr>
          <w:szCs w:val="24"/>
        </w:rPr>
      </w:pPr>
    </w:p>
    <w:p w14:paraId="16464836" w14:textId="152E017A" w:rsidR="00CF0714" w:rsidRPr="001B3304" w:rsidRDefault="000B4DFC" w:rsidP="003E1822">
      <w:pPr>
        <w:pStyle w:val="NoSpacing"/>
        <w:rPr>
          <w:szCs w:val="24"/>
        </w:rPr>
      </w:pPr>
      <w:r w:rsidRPr="001B3304">
        <w:rPr>
          <w:szCs w:val="24"/>
        </w:rPr>
        <w:t xml:space="preserve">Historically, courts have used the term “motive” when describing this purpose element. In truth, purpose may not be the same as motive. For example, a person’s purpose in using corporate resources may be to complete work on their property, but their motive may be financial: </w:t>
      </w:r>
      <w:r w:rsidRPr="001B3304">
        <w:rPr>
          <w:i/>
          <w:iCs/>
          <w:szCs w:val="24"/>
        </w:rPr>
        <w:t xml:space="preserve">R v Darnley, </w:t>
      </w:r>
      <w:hyperlink r:id="rId14" w:history="1">
        <w:r w:rsidRPr="001B3304">
          <w:rPr>
            <w:rStyle w:val="Hyperlink"/>
            <w:szCs w:val="24"/>
          </w:rPr>
          <w:t>2020 ONCA 179</w:t>
        </w:r>
      </w:hyperlink>
      <w:r w:rsidRPr="001B3304">
        <w:rPr>
          <w:szCs w:val="24"/>
        </w:rPr>
        <w:t>, at para 46</w:t>
      </w:r>
    </w:p>
    <w:p w14:paraId="20FB684F" w14:textId="67DD6102" w:rsidR="00457CBD" w:rsidRPr="001B3304" w:rsidRDefault="00457CBD" w:rsidP="003E1822">
      <w:pPr>
        <w:pStyle w:val="NoSpacing"/>
        <w:rPr>
          <w:szCs w:val="24"/>
        </w:rPr>
      </w:pPr>
    </w:p>
    <w:p w14:paraId="32DF806A" w14:textId="2C9B1380" w:rsidR="00457CBD" w:rsidRPr="001B3304" w:rsidRDefault="00457CBD" w:rsidP="003E1822">
      <w:pPr>
        <w:pStyle w:val="NoSpacing"/>
        <w:rPr>
          <w:szCs w:val="24"/>
        </w:rPr>
      </w:pPr>
    </w:p>
    <w:p w14:paraId="5447D424" w14:textId="5A1026B2" w:rsidR="00457CBD" w:rsidRPr="001B3304" w:rsidRDefault="00457CBD" w:rsidP="003E1822">
      <w:pPr>
        <w:pStyle w:val="NoSpacing"/>
        <w:rPr>
          <w:szCs w:val="24"/>
        </w:rPr>
      </w:pPr>
    </w:p>
    <w:p w14:paraId="38A952C8" w14:textId="21F87575" w:rsidR="00457CBD" w:rsidRPr="001B3304" w:rsidRDefault="00457CBD" w:rsidP="003E1822">
      <w:pPr>
        <w:pStyle w:val="NoSpacing"/>
        <w:rPr>
          <w:szCs w:val="24"/>
        </w:rPr>
      </w:pPr>
    </w:p>
    <w:p w14:paraId="53BED99A" w14:textId="77777777" w:rsidR="00457CBD" w:rsidRPr="001B3304" w:rsidRDefault="00457CBD" w:rsidP="003E1822">
      <w:pPr>
        <w:pStyle w:val="NoSpacing"/>
        <w:rPr>
          <w:szCs w:val="24"/>
        </w:rPr>
      </w:pPr>
    </w:p>
    <w:p w14:paraId="03F82A92" w14:textId="224047A5" w:rsidR="007D4B4E" w:rsidRPr="001B3304" w:rsidRDefault="007D4B4E" w:rsidP="007D4B4E">
      <w:pPr>
        <w:pStyle w:val="Heading2"/>
        <w:spacing w:line="276" w:lineRule="auto"/>
      </w:pPr>
      <w:bookmarkStart w:id="25" w:name="_Toc134294065"/>
      <w:r w:rsidRPr="001B3304">
        <w:lastRenderedPageBreak/>
        <w:t>Obstruction of Justice: s.139</w:t>
      </w:r>
      <w:bookmarkEnd w:id="25"/>
    </w:p>
    <w:p w14:paraId="44E76EF1" w14:textId="1E8E42C2" w:rsidR="007D4B4E" w:rsidRPr="001B3304" w:rsidRDefault="007D4B4E" w:rsidP="007D4B4E">
      <w:pPr>
        <w:pStyle w:val="NoSpacing"/>
        <w:rPr>
          <w:szCs w:val="24"/>
        </w:rPr>
      </w:pPr>
      <w:r w:rsidRPr="001B3304">
        <w:rPr>
          <w:szCs w:val="24"/>
        </w:rPr>
        <w:t>The essential elements of obstruct justice are:</w:t>
      </w:r>
    </w:p>
    <w:p w14:paraId="52A3CFD6" w14:textId="77777777" w:rsidR="007D4B4E" w:rsidRPr="001B3304" w:rsidRDefault="007D4B4E" w:rsidP="007D4B4E">
      <w:pPr>
        <w:pStyle w:val="NoSpacing"/>
        <w:rPr>
          <w:szCs w:val="24"/>
        </w:rPr>
      </w:pPr>
    </w:p>
    <w:p w14:paraId="7D97E6DE" w14:textId="77777777" w:rsidR="007D4B4E" w:rsidRPr="001B3304" w:rsidRDefault="007D4B4E" w:rsidP="007D4B4E">
      <w:pPr>
        <w:pStyle w:val="NoSpacing"/>
        <w:rPr>
          <w:szCs w:val="24"/>
        </w:rPr>
      </w:pPr>
      <w:r w:rsidRPr="001B3304">
        <w:rPr>
          <w:szCs w:val="24"/>
        </w:rPr>
        <w:t>1)   The accused must have done enough for there to be a risk, without any further action by her, that injustice will result; and,</w:t>
      </w:r>
    </w:p>
    <w:p w14:paraId="4780D240" w14:textId="2CAADBDB" w:rsidR="007D4B4E" w:rsidRPr="001B3304" w:rsidRDefault="007D4B4E" w:rsidP="007D4B4E">
      <w:pPr>
        <w:pStyle w:val="NoSpacing"/>
        <w:rPr>
          <w:szCs w:val="24"/>
        </w:rPr>
      </w:pPr>
      <w:r w:rsidRPr="001B3304">
        <w:rPr>
          <w:szCs w:val="24"/>
        </w:rPr>
        <w:t xml:space="preserve">2)   The attempt by the accused to obstruct justice must have been </w:t>
      </w:r>
      <w:proofErr w:type="spellStart"/>
      <w:r w:rsidRPr="001B3304">
        <w:rPr>
          <w:szCs w:val="24"/>
        </w:rPr>
        <w:t>wilful</w:t>
      </w:r>
      <w:proofErr w:type="spellEnd"/>
      <w:r w:rsidRPr="001B3304">
        <w:rPr>
          <w:szCs w:val="24"/>
        </w:rPr>
        <w:t xml:space="preserve">: </w:t>
      </w:r>
      <w:r w:rsidRPr="001B3304">
        <w:rPr>
          <w:i/>
          <w:iCs/>
          <w:szCs w:val="24"/>
        </w:rPr>
        <w:t xml:space="preserve">R v </w:t>
      </w:r>
      <w:proofErr w:type="spellStart"/>
      <w:r w:rsidRPr="001B3304">
        <w:rPr>
          <w:i/>
          <w:iCs/>
          <w:szCs w:val="24"/>
        </w:rPr>
        <w:t>Petrolo</w:t>
      </w:r>
      <w:proofErr w:type="spellEnd"/>
      <w:r w:rsidRPr="001B3304">
        <w:rPr>
          <w:i/>
          <w:iCs/>
          <w:szCs w:val="24"/>
        </w:rPr>
        <w:t xml:space="preserve">, </w:t>
      </w:r>
      <w:hyperlink r:id="rId15" w:history="1">
        <w:r w:rsidRPr="001B3304">
          <w:rPr>
            <w:rStyle w:val="Hyperlink"/>
            <w:szCs w:val="24"/>
          </w:rPr>
          <w:t>2021 ONCA 498</w:t>
        </w:r>
      </w:hyperlink>
      <w:r w:rsidRPr="001B3304">
        <w:rPr>
          <w:szCs w:val="24"/>
        </w:rPr>
        <w:t>, at para 41</w:t>
      </w:r>
    </w:p>
    <w:p w14:paraId="17094BD4" w14:textId="77777777" w:rsidR="007D4B4E" w:rsidRPr="001B3304" w:rsidRDefault="007D4B4E" w:rsidP="007D4B4E">
      <w:pPr>
        <w:rPr>
          <w:rFonts w:ascii="Arial" w:hAnsi="Arial" w:cs="Arial"/>
          <w:lang w:val="en-US"/>
        </w:rPr>
      </w:pPr>
    </w:p>
    <w:p w14:paraId="214D0321" w14:textId="4555B471" w:rsidR="00CF0714" w:rsidRPr="001B3304" w:rsidRDefault="00CF0714" w:rsidP="003E1822">
      <w:pPr>
        <w:pStyle w:val="Heading2"/>
        <w:spacing w:line="276" w:lineRule="auto"/>
      </w:pPr>
      <w:bookmarkStart w:id="26" w:name="_Toc134294066"/>
      <w:r w:rsidRPr="001B3304">
        <w:t xml:space="preserve">Fail to Appear: </w:t>
      </w:r>
      <w:r w:rsidRPr="001B3304">
        <w:rPr>
          <w:u w:val="single"/>
        </w:rPr>
        <w:t>s.145(5)</w:t>
      </w:r>
      <w:bookmarkEnd w:id="26"/>
    </w:p>
    <w:p w14:paraId="227DD5B8" w14:textId="77777777" w:rsidR="00CF0714" w:rsidRPr="001B3304" w:rsidRDefault="00CF0714" w:rsidP="003E1822">
      <w:pPr>
        <w:spacing w:before="100" w:beforeAutospacing="1" w:after="100" w:afterAutospacing="1" w:line="276" w:lineRule="auto"/>
        <w:jc w:val="both"/>
        <w:rPr>
          <w:rFonts w:ascii="Arial" w:hAnsi="Arial" w:cs="Arial"/>
        </w:rPr>
      </w:pPr>
      <w:r w:rsidRPr="001B3304">
        <w:rPr>
          <w:rFonts w:ascii="Arial" w:hAnsi="Arial" w:cs="Arial"/>
        </w:rPr>
        <w:t>​​</w:t>
      </w:r>
    </w:p>
    <w:p w14:paraId="507CA752" w14:textId="77777777" w:rsidR="00CF0714" w:rsidRPr="001B3304" w:rsidRDefault="00CF0714" w:rsidP="003E1822">
      <w:pPr>
        <w:pStyle w:val="NoSpacing"/>
        <w:rPr>
          <w:szCs w:val="24"/>
        </w:rPr>
      </w:pPr>
      <w:r w:rsidRPr="001B3304">
        <w:rPr>
          <w:szCs w:val="24"/>
        </w:rPr>
        <w:t xml:space="preserve">Section 145(5) makes it an offence when a person named in a promise to appear fails to appear at court or for fingerprinting as set out therein. </w:t>
      </w:r>
    </w:p>
    <w:p w14:paraId="592BC676" w14:textId="77777777" w:rsidR="00CF0714" w:rsidRPr="001B3304" w:rsidRDefault="00CF0714" w:rsidP="003E1822">
      <w:pPr>
        <w:pStyle w:val="NoSpacing"/>
        <w:rPr>
          <w:szCs w:val="24"/>
        </w:rPr>
      </w:pPr>
    </w:p>
    <w:p w14:paraId="7F697641" w14:textId="77777777" w:rsidR="00CF0714" w:rsidRPr="001B3304" w:rsidRDefault="00CF0714" w:rsidP="003E1822">
      <w:pPr>
        <w:pStyle w:val="NoSpacing"/>
        <w:rPr>
          <w:szCs w:val="24"/>
        </w:rPr>
      </w:pPr>
      <w:r w:rsidRPr="001B3304">
        <w:rPr>
          <w:szCs w:val="24"/>
        </w:rPr>
        <w:t xml:space="preserve">The provision allows for a </w:t>
      </w:r>
      <w:proofErr w:type="spellStart"/>
      <w:r w:rsidRPr="001B3304">
        <w:rPr>
          <w:szCs w:val="24"/>
        </w:rPr>
        <w:t>defence</w:t>
      </w:r>
      <w:proofErr w:type="spellEnd"/>
      <w:r w:rsidRPr="001B3304">
        <w:rPr>
          <w:szCs w:val="24"/>
        </w:rPr>
        <w:t xml:space="preserve"> of lawful excuse, the proof of which lies on the accused. </w:t>
      </w:r>
    </w:p>
    <w:p w14:paraId="0BEA9035" w14:textId="77777777" w:rsidR="00CF0714" w:rsidRPr="001B3304" w:rsidRDefault="00CF0714" w:rsidP="003E1822">
      <w:pPr>
        <w:pStyle w:val="NoSpacing"/>
        <w:rPr>
          <w:szCs w:val="24"/>
        </w:rPr>
      </w:pPr>
    </w:p>
    <w:p w14:paraId="40AAE6A5" w14:textId="77777777" w:rsidR="00CF0714" w:rsidRPr="001B3304" w:rsidRDefault="00CF0714" w:rsidP="003E1822">
      <w:pPr>
        <w:pStyle w:val="NoSpacing"/>
        <w:rPr>
          <w:szCs w:val="24"/>
        </w:rPr>
      </w:pPr>
      <w:r w:rsidRPr="001B3304">
        <w:rPr>
          <w:szCs w:val="24"/>
        </w:rPr>
        <w:t>It also requires that the promise to appear must have been confirmed by a justice. The confirmation process entails accepting, approving and verifying that the promise to appear complies with s. 501(4), including the requirement of service on the accused: </w:t>
      </w:r>
      <w:r w:rsidRPr="001B3304">
        <w:rPr>
          <w:i/>
          <w:iCs/>
          <w:szCs w:val="24"/>
        </w:rPr>
        <w:t>R v St. Pierre, </w:t>
      </w:r>
      <w:r w:rsidRPr="001B3304">
        <w:rPr>
          <w:szCs w:val="24"/>
          <w:u w:val="single"/>
        </w:rPr>
        <w:t xml:space="preserve">2016 ONCA 173 </w:t>
      </w:r>
      <w:r w:rsidRPr="001B3304">
        <w:rPr>
          <w:szCs w:val="24"/>
        </w:rPr>
        <w:t>at para 7</w:t>
      </w:r>
    </w:p>
    <w:p w14:paraId="775F13EA" w14:textId="77777777" w:rsidR="00CF0714" w:rsidRPr="001B3304" w:rsidRDefault="00CF0714" w:rsidP="003E1822">
      <w:pPr>
        <w:pStyle w:val="NoSpacing"/>
        <w:rPr>
          <w:szCs w:val="24"/>
        </w:rPr>
      </w:pPr>
      <w:r w:rsidRPr="001B3304">
        <w:rPr>
          <w:szCs w:val="24"/>
        </w:rPr>
        <w:t>​</w:t>
      </w:r>
    </w:p>
    <w:p w14:paraId="158BFF42" w14:textId="77777777" w:rsidR="00CF0714" w:rsidRPr="001B3304" w:rsidRDefault="00CF0714" w:rsidP="003E1822">
      <w:pPr>
        <w:pStyle w:val="NoSpacing"/>
        <w:rPr>
          <w:szCs w:val="24"/>
        </w:rPr>
      </w:pPr>
      <w:r w:rsidRPr="001B3304">
        <w:rPr>
          <w:szCs w:val="24"/>
        </w:rPr>
        <w:t>​</w:t>
      </w:r>
    </w:p>
    <w:p w14:paraId="36CC3535" w14:textId="2AA5D40F" w:rsidR="00CF0714" w:rsidRPr="001B3304" w:rsidRDefault="00CF0714" w:rsidP="003E1822">
      <w:pPr>
        <w:pStyle w:val="NoSpacing"/>
        <w:rPr>
          <w:szCs w:val="24"/>
        </w:rPr>
      </w:pPr>
      <w:r w:rsidRPr="001B3304">
        <w:rPr>
          <w:szCs w:val="24"/>
          <w:u w:val="single"/>
        </w:rPr>
        <w:t>Section 145(9)</w:t>
      </w:r>
      <w:r w:rsidRPr="001B3304">
        <w:rPr>
          <w:szCs w:val="24"/>
        </w:rPr>
        <w:t xml:space="preserve"> provides that a certificate of the clerk or judge of the court before which the accused fails to attend, or person in charge of the place the accused failed to attend for the Identification of Criminals Act, is evidence of the statements included in the certificate. </w:t>
      </w:r>
    </w:p>
    <w:p w14:paraId="36C5096F" w14:textId="77777777" w:rsidR="00122312" w:rsidRPr="001B3304" w:rsidRDefault="00122312" w:rsidP="003E1822">
      <w:pPr>
        <w:pStyle w:val="NoSpacing"/>
        <w:rPr>
          <w:szCs w:val="24"/>
        </w:rPr>
      </w:pPr>
    </w:p>
    <w:p w14:paraId="53220EDD" w14:textId="77777777" w:rsidR="00CF0714" w:rsidRPr="001B3304" w:rsidRDefault="00CF0714" w:rsidP="003E1822">
      <w:pPr>
        <w:pStyle w:val="NoSpacing"/>
        <w:rPr>
          <w:szCs w:val="24"/>
        </w:rPr>
      </w:pPr>
      <w:r w:rsidRPr="001B3304">
        <w:rPr>
          <w:szCs w:val="24"/>
        </w:rPr>
        <w:t>For these offences, s. 145(9) sets out that those statements are that the accused was named in the promise to appear, that the promise to appear was confirmed by a justice under s. 508, and that the accused failed to appear as stated therein: </w:t>
      </w:r>
      <w:r w:rsidRPr="001B3304">
        <w:rPr>
          <w:i/>
          <w:iCs/>
          <w:szCs w:val="24"/>
        </w:rPr>
        <w:t>St. Pierre </w:t>
      </w:r>
      <w:r w:rsidRPr="001B3304">
        <w:rPr>
          <w:szCs w:val="24"/>
        </w:rPr>
        <w:t>at para 8</w:t>
      </w:r>
    </w:p>
    <w:p w14:paraId="5CA1219B" w14:textId="05004A2F" w:rsidR="00CF0714" w:rsidRPr="001B3304" w:rsidRDefault="00CF0714" w:rsidP="003E1822">
      <w:pPr>
        <w:pStyle w:val="NoSpacing"/>
        <w:rPr>
          <w:szCs w:val="24"/>
        </w:rPr>
      </w:pPr>
      <w:r w:rsidRPr="001B3304">
        <w:rPr>
          <w:szCs w:val="24"/>
        </w:rPr>
        <w:t>​</w:t>
      </w:r>
    </w:p>
    <w:p w14:paraId="772A8D5E" w14:textId="367E3401" w:rsidR="00777315" w:rsidRPr="001B3304" w:rsidRDefault="00777315" w:rsidP="003E1822">
      <w:pPr>
        <w:pStyle w:val="NoSpacing"/>
        <w:rPr>
          <w:szCs w:val="24"/>
        </w:rPr>
      </w:pPr>
    </w:p>
    <w:p w14:paraId="229DD0B9" w14:textId="0AE5DBE6" w:rsidR="00777315" w:rsidRPr="001B3304" w:rsidRDefault="00777315" w:rsidP="003E1822">
      <w:pPr>
        <w:pStyle w:val="NoSpacing"/>
        <w:rPr>
          <w:szCs w:val="24"/>
        </w:rPr>
      </w:pPr>
    </w:p>
    <w:p w14:paraId="2F31CD37" w14:textId="77777777" w:rsidR="00777315" w:rsidRPr="001B3304" w:rsidRDefault="00777315" w:rsidP="003E1822">
      <w:pPr>
        <w:pStyle w:val="NoSpacing"/>
        <w:rPr>
          <w:szCs w:val="24"/>
        </w:rPr>
      </w:pPr>
    </w:p>
    <w:p w14:paraId="2C9311AC" w14:textId="77777777" w:rsidR="00CF0714" w:rsidRPr="001B3304" w:rsidRDefault="00CF0714" w:rsidP="004358F8">
      <w:pPr>
        <w:pStyle w:val="Heading3"/>
        <w:numPr>
          <w:ilvl w:val="0"/>
          <w:numId w:val="36"/>
        </w:numPr>
      </w:pPr>
      <w:bookmarkStart w:id="27" w:name="_Toc134294067"/>
      <w:r w:rsidRPr="001B3304">
        <w:lastRenderedPageBreak/>
        <w:t>Proof of Identity</w:t>
      </w:r>
      <w:bookmarkEnd w:id="27"/>
    </w:p>
    <w:p w14:paraId="2119CF93" w14:textId="77777777" w:rsidR="00CF0714" w:rsidRPr="001B3304" w:rsidRDefault="00CF0714" w:rsidP="003E1822">
      <w:pPr>
        <w:pStyle w:val="NoSpacing"/>
        <w:rPr>
          <w:szCs w:val="24"/>
        </w:rPr>
      </w:pPr>
      <w:r w:rsidRPr="001B3304">
        <w:rPr>
          <w:szCs w:val="24"/>
        </w:rPr>
        <w:t>The onus is on the Crown to prove (or in the case of a directed verdict, to present some evidence) that the person named in the information and before the court is the person who was the subject of the promise to appear.</w:t>
      </w:r>
    </w:p>
    <w:p w14:paraId="763CF6F1" w14:textId="77777777" w:rsidR="00CF0714" w:rsidRPr="001B3304" w:rsidRDefault="00CF0714" w:rsidP="003E1822">
      <w:pPr>
        <w:pStyle w:val="NoSpacing"/>
        <w:rPr>
          <w:szCs w:val="24"/>
        </w:rPr>
      </w:pPr>
    </w:p>
    <w:p w14:paraId="1BDA72C4" w14:textId="77777777" w:rsidR="00CF0714" w:rsidRPr="001B3304" w:rsidRDefault="00CF0714" w:rsidP="003E1822">
      <w:pPr>
        <w:pStyle w:val="NoSpacing"/>
        <w:rPr>
          <w:szCs w:val="24"/>
        </w:rPr>
      </w:pPr>
      <w:r w:rsidRPr="001B3304">
        <w:rPr>
          <w:szCs w:val="24"/>
        </w:rPr>
        <w:t>It is not essential that the original arresting officer provide in-court identification of the accused where other circumstantial evidence provides evidence on the issue: </w:t>
      </w:r>
      <w:r w:rsidRPr="001B3304">
        <w:rPr>
          <w:i/>
          <w:iCs/>
          <w:szCs w:val="24"/>
        </w:rPr>
        <w:t>St. Pierre </w:t>
      </w:r>
      <w:r w:rsidRPr="001B3304">
        <w:rPr>
          <w:szCs w:val="24"/>
        </w:rPr>
        <w:t>at para 9</w:t>
      </w:r>
    </w:p>
    <w:p w14:paraId="26717C62" w14:textId="77777777" w:rsidR="00CF0714" w:rsidRPr="001B3304" w:rsidRDefault="00CF0714" w:rsidP="003E1822">
      <w:pPr>
        <w:pStyle w:val="NoSpacing"/>
        <w:rPr>
          <w:szCs w:val="24"/>
        </w:rPr>
      </w:pPr>
    </w:p>
    <w:p w14:paraId="6ABD7166" w14:textId="77777777" w:rsidR="00CF0714" w:rsidRPr="001B3304" w:rsidRDefault="00CF0714" w:rsidP="003E1822">
      <w:pPr>
        <w:pStyle w:val="NoSpacing"/>
        <w:rPr>
          <w:szCs w:val="24"/>
        </w:rPr>
      </w:pPr>
      <w:r w:rsidRPr="001B3304">
        <w:rPr>
          <w:szCs w:val="24"/>
        </w:rPr>
        <w:t xml:space="preserve">In </w:t>
      </w:r>
      <w:r w:rsidRPr="001B3304">
        <w:rPr>
          <w:i/>
          <w:iCs/>
          <w:szCs w:val="24"/>
          <w:u w:val="single"/>
        </w:rPr>
        <w:t>St. Pierre</w:t>
      </w:r>
      <w:r w:rsidRPr="001B3304">
        <w:rPr>
          <w:szCs w:val="24"/>
        </w:rPr>
        <w:t>, for example, the Court of Appeal held that the following evidence, taken together, afforded some evidence that the accused was the person identified in the promise to appear, sufficient to dismiss a motion for a directed verdict:</w:t>
      </w:r>
    </w:p>
    <w:p w14:paraId="00B43FEF" w14:textId="77777777" w:rsidR="00CF0714" w:rsidRPr="001B3304" w:rsidRDefault="00CF0714" w:rsidP="003E1822">
      <w:pPr>
        <w:pStyle w:val="NoSpacing"/>
        <w:numPr>
          <w:ilvl w:val="0"/>
          <w:numId w:val="4"/>
        </w:numPr>
        <w:rPr>
          <w:szCs w:val="24"/>
        </w:rPr>
      </w:pPr>
      <w:r w:rsidRPr="001B3304">
        <w:rPr>
          <w:szCs w:val="24"/>
        </w:rPr>
        <w:t>The fact that the same name and date of birth were listed on the promise to appear and the information charging the accused with failing to attend (para 10)</w:t>
      </w:r>
    </w:p>
    <w:p w14:paraId="1E055A31" w14:textId="77777777" w:rsidR="00CF0714" w:rsidRPr="001B3304" w:rsidRDefault="00CF0714" w:rsidP="003E1822">
      <w:pPr>
        <w:pStyle w:val="NoSpacing"/>
        <w:numPr>
          <w:ilvl w:val="0"/>
          <w:numId w:val="4"/>
        </w:numPr>
        <w:rPr>
          <w:szCs w:val="24"/>
        </w:rPr>
      </w:pPr>
      <w:r w:rsidRPr="001B3304">
        <w:rPr>
          <w:szCs w:val="24"/>
        </w:rPr>
        <w:t>the fact that the accused turned himself in on his own volition for an outstanding warrant for failing to attend court (para 11)</w:t>
      </w:r>
    </w:p>
    <w:p w14:paraId="4E61BD47" w14:textId="475AA56D" w:rsidR="00CF0714" w:rsidRPr="001B3304" w:rsidRDefault="00CF0714" w:rsidP="003E1822">
      <w:pPr>
        <w:pStyle w:val="NoSpacing"/>
        <w:numPr>
          <w:ilvl w:val="0"/>
          <w:numId w:val="4"/>
        </w:numPr>
        <w:rPr>
          <w:szCs w:val="24"/>
        </w:rPr>
      </w:pPr>
      <w:r w:rsidRPr="001B3304">
        <w:rPr>
          <w:szCs w:val="24"/>
        </w:rPr>
        <w:t>the fact that the accused con</w:t>
      </w:r>
      <w:r w:rsidR="00C169FE" w:rsidRPr="001B3304">
        <w:rPr>
          <w:szCs w:val="24"/>
        </w:rPr>
        <w:t>c</w:t>
      </w:r>
      <w:r w:rsidRPr="001B3304">
        <w:rPr>
          <w:szCs w:val="24"/>
        </w:rPr>
        <w:t>eded confirmation of the promise to appear "effectively accepting that he was named in a promise to appear and that the promise to appear was served on him" (para 12) </w:t>
      </w:r>
    </w:p>
    <w:p w14:paraId="16A729F8" w14:textId="744FC4E0" w:rsidR="00CF0714" w:rsidRPr="001B3304" w:rsidRDefault="00CF0714" w:rsidP="003E1822">
      <w:pPr>
        <w:pStyle w:val="NoSpacing"/>
        <w:numPr>
          <w:ilvl w:val="0"/>
          <w:numId w:val="4"/>
        </w:numPr>
        <w:rPr>
          <w:szCs w:val="24"/>
        </w:rPr>
      </w:pPr>
      <w:r w:rsidRPr="001B3304">
        <w:rPr>
          <w:szCs w:val="24"/>
        </w:rPr>
        <w:t>the fact that the certificated tendered at trial demonstrate that the accused was named in the promise to appear, the promise to appear was confirmed by a justice, and that he failed to attend court as required (para 12)</w:t>
      </w:r>
    </w:p>
    <w:p w14:paraId="45F6F392" w14:textId="77777777" w:rsidR="00457CBD" w:rsidRPr="001B3304" w:rsidRDefault="00457CBD" w:rsidP="003E1822">
      <w:pPr>
        <w:pStyle w:val="NoSpacing"/>
        <w:rPr>
          <w:szCs w:val="24"/>
        </w:rPr>
      </w:pPr>
    </w:p>
    <w:p w14:paraId="2601D0BC" w14:textId="1540CFBF" w:rsidR="00CF0714" w:rsidRPr="001B3304" w:rsidRDefault="003E1305" w:rsidP="003E1822">
      <w:pPr>
        <w:pStyle w:val="Heading1"/>
        <w:spacing w:line="276" w:lineRule="auto"/>
        <w:rPr>
          <w:rFonts w:ascii="Arial" w:hAnsi="Arial" w:cs="Arial"/>
          <w:sz w:val="24"/>
          <w:szCs w:val="24"/>
        </w:rPr>
      </w:pPr>
      <w:bookmarkStart w:id="28" w:name="_Toc134294068"/>
      <w:r w:rsidRPr="001B3304">
        <w:rPr>
          <w:rFonts w:ascii="Arial" w:hAnsi="Arial" w:cs="Arial"/>
          <w:sz w:val="24"/>
          <w:szCs w:val="24"/>
        </w:rPr>
        <w:t>PART V: SEXUAL OFFENCES, PUBLIC MORALS, AND DISORDERLY CONDUCT</w:t>
      </w:r>
      <w:bookmarkEnd w:id="28"/>
    </w:p>
    <w:p w14:paraId="2EB17445" w14:textId="77777777" w:rsidR="00CF0714" w:rsidRPr="001B3304" w:rsidRDefault="00CF0714" w:rsidP="003E1822">
      <w:pPr>
        <w:spacing w:line="276" w:lineRule="auto"/>
        <w:rPr>
          <w:rFonts w:ascii="Arial" w:hAnsi="Arial" w:cs="Arial"/>
        </w:rPr>
      </w:pPr>
    </w:p>
    <w:p w14:paraId="68C648D7" w14:textId="77777777" w:rsidR="00CF0714" w:rsidRPr="001B3304" w:rsidRDefault="00CF0714" w:rsidP="003E1822">
      <w:pPr>
        <w:pStyle w:val="Heading2"/>
        <w:numPr>
          <w:ilvl w:val="0"/>
          <w:numId w:val="25"/>
        </w:numPr>
        <w:spacing w:line="276" w:lineRule="auto"/>
      </w:pPr>
      <w:bookmarkStart w:id="29" w:name="_Toc134294069"/>
      <w:r w:rsidRPr="001B3304">
        <w:t>Sexual Interference: s.151</w:t>
      </w:r>
      <w:bookmarkEnd w:id="29"/>
    </w:p>
    <w:p w14:paraId="19E54EC7" w14:textId="77777777" w:rsidR="00CF0714" w:rsidRPr="001B3304" w:rsidRDefault="00CF0714" w:rsidP="004358F8">
      <w:pPr>
        <w:pStyle w:val="Heading3"/>
        <w:numPr>
          <w:ilvl w:val="0"/>
          <w:numId w:val="37"/>
        </w:numPr>
      </w:pPr>
      <w:bookmarkStart w:id="30" w:name="_Toc134294070"/>
      <w:r w:rsidRPr="001B3304">
        <w:t>Elements of the Offence</w:t>
      </w:r>
      <w:bookmarkEnd w:id="30"/>
    </w:p>
    <w:p w14:paraId="0D0BE6A3" w14:textId="77777777" w:rsidR="00CF0714" w:rsidRPr="001B3304" w:rsidRDefault="00CF0714" w:rsidP="003E1822">
      <w:pPr>
        <w:pStyle w:val="NoSpacing"/>
        <w:rPr>
          <w:szCs w:val="24"/>
        </w:rPr>
      </w:pPr>
    </w:p>
    <w:p w14:paraId="1C9BB37D" w14:textId="7A63B584" w:rsidR="00CF0714" w:rsidRPr="001B3304" w:rsidRDefault="00CF0714" w:rsidP="003E1822">
      <w:pPr>
        <w:pStyle w:val="NoSpacing"/>
        <w:rPr>
          <w:szCs w:val="24"/>
          <w:u w:val="single"/>
        </w:rPr>
      </w:pPr>
      <w:r w:rsidRPr="001B3304">
        <w:rPr>
          <w:szCs w:val="24"/>
        </w:rPr>
        <w:t xml:space="preserve">Exploitation is not a requirement for the offence of sexual interference. Overt indicia of exploitation may diminish the credibility of an accused’s purported </w:t>
      </w:r>
      <w:r w:rsidRPr="001B3304">
        <w:rPr>
          <w:szCs w:val="24"/>
        </w:rPr>
        <w:lastRenderedPageBreak/>
        <w:t>mistaken belief in the complainant’s age, or the reasonableness of the steps taken by that accused, but they are not required for the offence itself: </w:t>
      </w:r>
      <w:r w:rsidRPr="001B3304">
        <w:rPr>
          <w:i/>
          <w:iCs/>
          <w:szCs w:val="24"/>
        </w:rPr>
        <w:t>R v George, </w:t>
      </w:r>
      <w:r w:rsidRPr="001B3304">
        <w:rPr>
          <w:szCs w:val="24"/>
          <w:u w:val="single"/>
        </w:rPr>
        <w:t>2017 SCC 38</w:t>
      </w:r>
    </w:p>
    <w:p w14:paraId="5E3793F2" w14:textId="153382A8" w:rsidR="00986A63" w:rsidRPr="001B3304" w:rsidRDefault="00986A63" w:rsidP="003E1822">
      <w:pPr>
        <w:pStyle w:val="NoSpacing"/>
        <w:rPr>
          <w:szCs w:val="24"/>
          <w:u w:val="single"/>
        </w:rPr>
      </w:pPr>
    </w:p>
    <w:p w14:paraId="4829A963" w14:textId="00FBC381" w:rsidR="00986A63" w:rsidRPr="001B3304" w:rsidRDefault="00986A63" w:rsidP="003E1822">
      <w:pPr>
        <w:pStyle w:val="Heading2"/>
        <w:spacing w:line="276" w:lineRule="auto"/>
      </w:pPr>
      <w:bookmarkStart w:id="31" w:name="_Toc134294071"/>
      <w:r w:rsidRPr="001B3304">
        <w:t>Invitation to Sexual Touching: S.152</w:t>
      </w:r>
      <w:bookmarkEnd w:id="31"/>
    </w:p>
    <w:p w14:paraId="5587D3CD" w14:textId="56D53232" w:rsidR="00986A63" w:rsidRPr="001B3304" w:rsidRDefault="00986A63" w:rsidP="003E1822">
      <w:pPr>
        <w:spacing w:line="276" w:lineRule="auto"/>
        <w:rPr>
          <w:rFonts w:ascii="Arial" w:hAnsi="Arial" w:cs="Arial"/>
          <w:lang w:val="en-US"/>
        </w:rPr>
      </w:pPr>
    </w:p>
    <w:p w14:paraId="4BF37B7C" w14:textId="681271F1" w:rsidR="00986A63" w:rsidRPr="001B3304" w:rsidRDefault="00986A63" w:rsidP="003E1822">
      <w:pPr>
        <w:pStyle w:val="NoSpacing"/>
        <w:rPr>
          <w:szCs w:val="24"/>
        </w:rPr>
      </w:pPr>
      <w:r w:rsidRPr="001B3304">
        <w:rPr>
          <w:szCs w:val="24"/>
        </w:rPr>
        <w:t>The elements of the offence are:</w:t>
      </w:r>
    </w:p>
    <w:p w14:paraId="0147B24C" w14:textId="77777777" w:rsidR="00986A63" w:rsidRPr="001B3304" w:rsidRDefault="00986A63" w:rsidP="003E1822">
      <w:pPr>
        <w:pStyle w:val="NoSpacing"/>
        <w:numPr>
          <w:ilvl w:val="0"/>
          <w:numId w:val="34"/>
        </w:numPr>
        <w:rPr>
          <w:szCs w:val="24"/>
        </w:rPr>
      </w:pPr>
      <w:r w:rsidRPr="001B3304">
        <w:rPr>
          <w:szCs w:val="24"/>
        </w:rPr>
        <w:t>That the complainant was under 16;</w:t>
      </w:r>
    </w:p>
    <w:p w14:paraId="3AA15769" w14:textId="77777777" w:rsidR="00986A63" w:rsidRPr="001B3304" w:rsidRDefault="00986A63" w:rsidP="003E1822">
      <w:pPr>
        <w:pStyle w:val="NoSpacing"/>
        <w:numPr>
          <w:ilvl w:val="0"/>
          <w:numId w:val="34"/>
        </w:numPr>
        <w:rPr>
          <w:szCs w:val="24"/>
        </w:rPr>
      </w:pPr>
      <w:r w:rsidRPr="001B3304">
        <w:rPr>
          <w:szCs w:val="24"/>
        </w:rPr>
        <w:t>the accused invited, counselled, or incited the complainant to touch him; and,</w:t>
      </w:r>
    </w:p>
    <w:p w14:paraId="5BC452F4" w14:textId="1E01803D" w:rsidR="00986A63" w:rsidRPr="001B3304" w:rsidRDefault="00986A63" w:rsidP="003E1822">
      <w:pPr>
        <w:pStyle w:val="NoSpacing"/>
        <w:numPr>
          <w:ilvl w:val="0"/>
          <w:numId w:val="34"/>
        </w:numPr>
        <w:rPr>
          <w:szCs w:val="24"/>
        </w:rPr>
      </w:pPr>
      <w:r w:rsidRPr="001B3304">
        <w:rPr>
          <w:szCs w:val="24"/>
        </w:rPr>
        <w:t>the proposed touching was for a sexual purpose.</w:t>
      </w:r>
    </w:p>
    <w:p w14:paraId="6F4FFB93" w14:textId="77777777" w:rsidR="00986A63" w:rsidRPr="001B3304" w:rsidRDefault="00986A63" w:rsidP="003E1822">
      <w:pPr>
        <w:spacing w:line="276" w:lineRule="auto"/>
        <w:rPr>
          <w:rFonts w:ascii="Arial" w:hAnsi="Arial" w:cs="Arial"/>
          <w:lang w:val="en-US"/>
        </w:rPr>
      </w:pPr>
    </w:p>
    <w:p w14:paraId="618376A1" w14:textId="5D0009F3" w:rsidR="00986A63" w:rsidRPr="001B3304" w:rsidRDefault="00986A63" w:rsidP="003E1822">
      <w:pPr>
        <w:pStyle w:val="NoSpacing"/>
        <w:rPr>
          <w:szCs w:val="24"/>
        </w:rPr>
      </w:pPr>
      <w:r w:rsidRPr="001B3304">
        <w:rPr>
          <w:szCs w:val="24"/>
        </w:rPr>
        <w:t>The Crown does not have to prove that the complainant actually touched the accused for a sexual purpose. An invitation to touch includes acts and/or words by which an accused requests, suggests, or otherwise incites or encourages the complainant to touch him for a sexual purpose. The invitation may be express or implied. </w:t>
      </w:r>
    </w:p>
    <w:p w14:paraId="624CE9AA" w14:textId="77777777" w:rsidR="00986A63" w:rsidRPr="001B3304" w:rsidRDefault="00986A63" w:rsidP="003E1822">
      <w:pPr>
        <w:pStyle w:val="NoSpacing"/>
        <w:rPr>
          <w:szCs w:val="24"/>
        </w:rPr>
      </w:pPr>
    </w:p>
    <w:p w14:paraId="091E4CAD" w14:textId="2B750888" w:rsidR="00CF0714" w:rsidRPr="001B3304" w:rsidRDefault="00986A63" w:rsidP="003E1822">
      <w:pPr>
        <w:pStyle w:val="NoSpacing"/>
        <w:rPr>
          <w:szCs w:val="24"/>
        </w:rPr>
      </w:pPr>
      <w:r w:rsidRPr="001B3304">
        <w:rPr>
          <w:szCs w:val="24"/>
        </w:rPr>
        <w:t xml:space="preserve">The offence of invitation to sexual touching does not require the accused to initiate the communication or activity alleged. It is enough that the accused did and/or said something in the course of his interaction with the complainant that amounted to an invitation to the complainant to touch the accused for a sexual purpose. The invitation, incitement, or counselling may come in the form of an agreement to exchange something for sexual services to be provided by the complainant: </w:t>
      </w:r>
      <w:r w:rsidRPr="001B3304">
        <w:rPr>
          <w:i/>
          <w:iCs/>
          <w:szCs w:val="24"/>
        </w:rPr>
        <w:t xml:space="preserve">R v Carbone, </w:t>
      </w:r>
      <w:hyperlink r:id="rId16" w:history="1">
        <w:r w:rsidRPr="001B3304">
          <w:rPr>
            <w:rStyle w:val="Hyperlink"/>
            <w:szCs w:val="24"/>
          </w:rPr>
          <w:t>2020 ONCA 394</w:t>
        </w:r>
      </w:hyperlink>
      <w:r w:rsidRPr="001B3304">
        <w:rPr>
          <w:szCs w:val="24"/>
        </w:rPr>
        <w:t>, at paras 60-62</w:t>
      </w:r>
    </w:p>
    <w:p w14:paraId="67852EE5" w14:textId="43D517C8" w:rsidR="00986A63" w:rsidRPr="001B3304" w:rsidRDefault="00986A63" w:rsidP="003E1822">
      <w:pPr>
        <w:pStyle w:val="NoSpacing"/>
        <w:rPr>
          <w:szCs w:val="24"/>
        </w:rPr>
      </w:pPr>
    </w:p>
    <w:p w14:paraId="1C745C1C" w14:textId="55F08AB4" w:rsidR="00986A63" w:rsidRPr="001B3304" w:rsidRDefault="00986A63" w:rsidP="003E1822">
      <w:pPr>
        <w:pStyle w:val="NoSpacing"/>
        <w:rPr>
          <w:szCs w:val="24"/>
        </w:rPr>
      </w:pPr>
      <w:r w:rsidRPr="001B3304">
        <w:rPr>
          <w:szCs w:val="24"/>
        </w:rPr>
        <w:t>Section 150.1(4) creates a “</w:t>
      </w:r>
      <w:proofErr w:type="spellStart"/>
      <w:r w:rsidRPr="001B3304">
        <w:rPr>
          <w:szCs w:val="24"/>
        </w:rPr>
        <w:t>defence</w:t>
      </w:r>
      <w:proofErr w:type="spellEnd"/>
      <w:r w:rsidRPr="001B3304">
        <w:rPr>
          <w:szCs w:val="24"/>
        </w:rPr>
        <w:t>” based on a mistaken belief that the complainant was 16 or older if, and only if, an accused took “all reasonable steps” to ascertain the complainant’s age:</w:t>
      </w:r>
    </w:p>
    <w:p w14:paraId="66E5B261" w14:textId="77777777" w:rsidR="00986A63" w:rsidRPr="001B3304" w:rsidRDefault="00986A63" w:rsidP="003E1822">
      <w:pPr>
        <w:pStyle w:val="NoSpacing"/>
        <w:rPr>
          <w:szCs w:val="24"/>
        </w:rPr>
      </w:pPr>
    </w:p>
    <w:p w14:paraId="0A6E2958" w14:textId="4477FC0F" w:rsidR="00986A63" w:rsidRPr="001B3304" w:rsidRDefault="00986A63" w:rsidP="003E1822">
      <w:pPr>
        <w:pStyle w:val="NoSpacing"/>
        <w:rPr>
          <w:szCs w:val="24"/>
        </w:rPr>
      </w:pPr>
      <w:r w:rsidRPr="001B3304">
        <w:rPr>
          <w:szCs w:val="24"/>
        </w:rPr>
        <w:t>The Crown cannot prove the requisite </w:t>
      </w:r>
      <w:proofErr w:type="spellStart"/>
      <w:r w:rsidRPr="001B3304">
        <w:rPr>
          <w:szCs w:val="24"/>
        </w:rPr>
        <w:t>mens</w:t>
      </w:r>
      <w:proofErr w:type="spellEnd"/>
      <w:r w:rsidRPr="001B3304">
        <w:rPr>
          <w:szCs w:val="24"/>
        </w:rPr>
        <w:t xml:space="preserve"> rea for offences set out in s. 150.1(4) by disproving the </w:t>
      </w:r>
      <w:proofErr w:type="spellStart"/>
      <w:r w:rsidRPr="001B3304">
        <w:rPr>
          <w:szCs w:val="24"/>
        </w:rPr>
        <w:t>defence</w:t>
      </w:r>
      <w:proofErr w:type="spellEnd"/>
      <w:r w:rsidRPr="001B3304">
        <w:rPr>
          <w:szCs w:val="24"/>
        </w:rPr>
        <w:t xml:space="preserve"> created by that section. To convict, the Crown must prove the accused had the requisite state of mind with respect to the complainant’s underage status. This includes recklessness as to the age of the complainant.</w:t>
      </w:r>
    </w:p>
    <w:p w14:paraId="60FE2D58" w14:textId="4A0DA0A4" w:rsidR="00986A63" w:rsidRPr="001B3304" w:rsidRDefault="00986A63" w:rsidP="003E1822">
      <w:pPr>
        <w:pStyle w:val="NoSpacing"/>
        <w:rPr>
          <w:szCs w:val="24"/>
        </w:rPr>
      </w:pPr>
    </w:p>
    <w:p w14:paraId="07D8A194" w14:textId="4591F878" w:rsidR="00986A63" w:rsidRPr="001B3304" w:rsidRDefault="00986A63" w:rsidP="003E1822">
      <w:pPr>
        <w:pStyle w:val="NoSpacing"/>
        <w:rPr>
          <w:szCs w:val="24"/>
        </w:rPr>
      </w:pPr>
      <w:r w:rsidRPr="001B3304">
        <w:rPr>
          <w:szCs w:val="24"/>
        </w:rPr>
        <w:t>The trial judge ought to proceed along the following lines of inquiry:</w:t>
      </w:r>
    </w:p>
    <w:p w14:paraId="0BF5EBB7" w14:textId="74606FF8" w:rsidR="00986A63" w:rsidRPr="001B3304" w:rsidRDefault="00986A63" w:rsidP="003E1822">
      <w:pPr>
        <w:pStyle w:val="NoSpacing"/>
        <w:rPr>
          <w:szCs w:val="24"/>
        </w:rPr>
      </w:pPr>
    </w:p>
    <w:p w14:paraId="5157A0DA" w14:textId="6EB1E75C" w:rsidR="00986A63" w:rsidRPr="001B3304" w:rsidRDefault="00986A63" w:rsidP="003E1822">
      <w:pPr>
        <w:pStyle w:val="NoSpacing"/>
        <w:rPr>
          <w:rStyle w:val="Emphasis"/>
          <w:caps w:val="0"/>
          <w:spacing w:val="0"/>
          <w:sz w:val="24"/>
          <w:szCs w:val="24"/>
        </w:rPr>
      </w:pPr>
      <w:r w:rsidRPr="001B3304">
        <w:rPr>
          <w:rStyle w:val="Emphasis"/>
          <w:caps w:val="0"/>
          <w:spacing w:val="0"/>
          <w:sz w:val="24"/>
          <w:szCs w:val="24"/>
        </w:rPr>
        <w:lastRenderedPageBreak/>
        <w:t xml:space="preserve">Step 1: The trial judge will first determine whether there is an air of reality to the s. 150.1(4) </w:t>
      </w:r>
      <w:proofErr w:type="spellStart"/>
      <w:r w:rsidRPr="001B3304">
        <w:rPr>
          <w:rStyle w:val="Emphasis"/>
          <w:caps w:val="0"/>
          <w:spacing w:val="0"/>
          <w:sz w:val="24"/>
          <w:szCs w:val="24"/>
        </w:rPr>
        <w:t>defence</w:t>
      </w:r>
      <w:proofErr w:type="spellEnd"/>
      <w:r w:rsidRPr="001B3304">
        <w:rPr>
          <w:rStyle w:val="Emphasis"/>
          <w:caps w:val="0"/>
          <w:spacing w:val="0"/>
          <w:sz w:val="24"/>
          <w:szCs w:val="24"/>
        </w:rPr>
        <w:t>, that is, is there a basis in the evidence to support the claim the accused believed the complainant was the required age and took all reasonable steps to determine the complainant’s age.</w:t>
      </w:r>
    </w:p>
    <w:p w14:paraId="3A05A8A3" w14:textId="77777777" w:rsidR="00986A63" w:rsidRPr="001B3304" w:rsidRDefault="00986A63" w:rsidP="003E1822">
      <w:pPr>
        <w:pStyle w:val="NoSpacing"/>
        <w:rPr>
          <w:szCs w:val="24"/>
        </w:rPr>
      </w:pPr>
    </w:p>
    <w:p w14:paraId="120A2FDE" w14:textId="1C6451AB" w:rsidR="00986A63" w:rsidRPr="001B3304" w:rsidRDefault="00986A63" w:rsidP="003E1822">
      <w:pPr>
        <w:pStyle w:val="NoSpacing"/>
        <w:rPr>
          <w:szCs w:val="24"/>
        </w:rPr>
      </w:pPr>
      <w:r w:rsidRPr="001B3304">
        <w:rPr>
          <w:szCs w:val="24"/>
        </w:rPr>
        <w:t xml:space="preserve">Step 2: If the answer to step 1 is no, the s. 150.1(4) </w:t>
      </w:r>
      <w:proofErr w:type="spellStart"/>
      <w:r w:rsidRPr="001B3304">
        <w:rPr>
          <w:szCs w:val="24"/>
        </w:rPr>
        <w:t>defence</w:t>
      </w:r>
      <w:proofErr w:type="spellEnd"/>
      <w:r w:rsidRPr="001B3304">
        <w:rPr>
          <w:szCs w:val="24"/>
        </w:rPr>
        <w:t xml:space="preserve"> is not in play, and any claim the accused believed the complainant was the required age is removed from the evidentiary mix. If the answer at step1 is yes, the trial judge will decide whether the Crown has negated the </w:t>
      </w:r>
      <w:proofErr w:type="spellStart"/>
      <w:r w:rsidRPr="001B3304">
        <w:rPr>
          <w:szCs w:val="24"/>
        </w:rPr>
        <w:t>defence</w:t>
      </w:r>
      <w:proofErr w:type="spellEnd"/>
      <w:r w:rsidRPr="001B3304">
        <w:rPr>
          <w:szCs w:val="24"/>
        </w:rPr>
        <w:t xml:space="preserve"> by proving beyond a reasonable doubt, either that the accused did not believe the complainant was the required age, or did not take all reasonable steps to determine her age. If the Crown fails to negate the </w:t>
      </w:r>
      <w:proofErr w:type="spellStart"/>
      <w:r w:rsidRPr="001B3304">
        <w:rPr>
          <w:szCs w:val="24"/>
        </w:rPr>
        <w:t>defence</w:t>
      </w:r>
      <w:proofErr w:type="spellEnd"/>
      <w:r w:rsidRPr="001B3304">
        <w:rPr>
          <w:szCs w:val="24"/>
        </w:rPr>
        <w:t xml:space="preserve">, the accused will be acquitted. If the Crown negates the </w:t>
      </w:r>
      <w:proofErr w:type="spellStart"/>
      <w:r w:rsidRPr="001B3304">
        <w:rPr>
          <w:szCs w:val="24"/>
        </w:rPr>
        <w:t>defence</w:t>
      </w:r>
      <w:proofErr w:type="spellEnd"/>
      <w:r w:rsidRPr="001B3304">
        <w:rPr>
          <w:szCs w:val="24"/>
        </w:rPr>
        <w:t>, the judge will go on to step 3.</w:t>
      </w:r>
    </w:p>
    <w:p w14:paraId="4F9DC5B1" w14:textId="77777777" w:rsidR="00777315" w:rsidRPr="001B3304" w:rsidRDefault="00777315" w:rsidP="003E1822">
      <w:pPr>
        <w:pStyle w:val="NoSpacing"/>
        <w:rPr>
          <w:szCs w:val="24"/>
        </w:rPr>
      </w:pPr>
    </w:p>
    <w:p w14:paraId="2C4D6FEA" w14:textId="77777777" w:rsidR="00986A63" w:rsidRPr="001B3304" w:rsidRDefault="00986A63" w:rsidP="003E1822">
      <w:pPr>
        <w:pStyle w:val="NoSpacing"/>
        <w:rPr>
          <w:szCs w:val="24"/>
        </w:rPr>
      </w:pPr>
      <w:r w:rsidRPr="001B3304">
        <w:rPr>
          <w:szCs w:val="24"/>
        </w:rPr>
        <w:t xml:space="preserve">Step 3: The trial judge will consider, having determined there is no basis for the claim the accused believed the complainant was the required age, whether the Crown has proved the accused believed (or was </w:t>
      </w:r>
      <w:proofErr w:type="spellStart"/>
      <w:r w:rsidRPr="001B3304">
        <w:rPr>
          <w:szCs w:val="24"/>
        </w:rPr>
        <w:t>wilfully</w:t>
      </w:r>
      <w:proofErr w:type="spellEnd"/>
      <w:r w:rsidRPr="001B3304">
        <w:rPr>
          <w:szCs w:val="24"/>
        </w:rPr>
        <w:t xml:space="preserve"> blind) the complainant was underage, or was reckless as to her underage status. If the answer is yes, the trial judge will convict. If the answer is no, the trial judge will acquit.</w:t>
      </w:r>
    </w:p>
    <w:p w14:paraId="32B4688B" w14:textId="2BDB0C2D" w:rsidR="00986A63" w:rsidRPr="001B3304" w:rsidRDefault="00986A63" w:rsidP="003E1822">
      <w:pPr>
        <w:pStyle w:val="NoSpacing"/>
        <w:rPr>
          <w:szCs w:val="24"/>
        </w:rPr>
      </w:pPr>
    </w:p>
    <w:p w14:paraId="4F9B5064" w14:textId="4A154BD3" w:rsidR="00BD1783" w:rsidRPr="001B3304" w:rsidRDefault="00986A63" w:rsidP="00BD1783">
      <w:pPr>
        <w:pStyle w:val="NoSpacing"/>
        <w:rPr>
          <w:szCs w:val="24"/>
        </w:rPr>
      </w:pPr>
      <w:r w:rsidRPr="001B3304">
        <w:rPr>
          <w:szCs w:val="24"/>
        </w:rPr>
        <w:t>Recklessness includes a failure to advert to the age of the complainant, save in those cases in which the circumstances did not permit the inference that in proceeding without regard to the complainant’s age, the accused decided to treat her age as irrelevant to his conduct. While one can imagine circumstances in which the failure to advert to the age of the complainant should not be characterized as a decision to treat the age of the complainant as irrelevant and take the risk, those circumstances will seldom occur in the real world. For practical purposes, those rare circumstances, in which the failure to turn one’s mind to the age of the complainant does not reflect the decision to take a risk about the complainant’s age, will be the same rare circumstances in which the reasonable steps inquiry in s. 150.1(4) will be satisfied even though the accused took no active steps to determine the complainant’s age</w:t>
      </w:r>
      <w:r w:rsidR="004919C7" w:rsidRPr="001B3304">
        <w:rPr>
          <w:szCs w:val="24"/>
        </w:rPr>
        <w:t xml:space="preserve">: </w:t>
      </w:r>
      <w:r w:rsidR="004919C7" w:rsidRPr="001B3304">
        <w:rPr>
          <w:i/>
          <w:iCs/>
          <w:szCs w:val="24"/>
        </w:rPr>
        <w:t xml:space="preserve">R v Carbone, </w:t>
      </w:r>
      <w:hyperlink r:id="rId17" w:history="1">
        <w:r w:rsidR="004919C7" w:rsidRPr="001B3304">
          <w:rPr>
            <w:rStyle w:val="Hyperlink"/>
            <w:szCs w:val="24"/>
          </w:rPr>
          <w:t>2020 ONCA 394</w:t>
        </w:r>
      </w:hyperlink>
      <w:r w:rsidR="004919C7" w:rsidRPr="001B3304">
        <w:rPr>
          <w:szCs w:val="24"/>
        </w:rPr>
        <w:t>, at paras 128-131</w:t>
      </w:r>
    </w:p>
    <w:p w14:paraId="2144EB75" w14:textId="77777777" w:rsidR="00BD1783" w:rsidRPr="001B3304" w:rsidRDefault="00BD1783" w:rsidP="003E1822">
      <w:pPr>
        <w:pStyle w:val="NoSpacing"/>
        <w:rPr>
          <w:szCs w:val="24"/>
        </w:rPr>
      </w:pPr>
    </w:p>
    <w:p w14:paraId="0D6EDA7D" w14:textId="77777777" w:rsidR="00986A63" w:rsidRPr="001B3304" w:rsidRDefault="00986A63" w:rsidP="003E1822">
      <w:pPr>
        <w:pStyle w:val="NoSpacing"/>
        <w:rPr>
          <w:szCs w:val="24"/>
        </w:rPr>
      </w:pPr>
    </w:p>
    <w:p w14:paraId="6A70416B" w14:textId="77777777" w:rsidR="00CF0714" w:rsidRPr="001B3304" w:rsidRDefault="00CF0714" w:rsidP="004358F8">
      <w:pPr>
        <w:pStyle w:val="Heading3"/>
        <w:numPr>
          <w:ilvl w:val="0"/>
          <w:numId w:val="38"/>
        </w:numPr>
      </w:pPr>
      <w:bookmarkStart w:id="32" w:name="_Toc134294072"/>
      <w:r w:rsidRPr="001B3304">
        <w:t xml:space="preserve">The </w:t>
      </w:r>
      <w:proofErr w:type="spellStart"/>
      <w:r w:rsidRPr="001B3304">
        <w:t>Defence</w:t>
      </w:r>
      <w:proofErr w:type="spellEnd"/>
      <w:r w:rsidRPr="001B3304">
        <w:t xml:space="preserve"> of Honest but Mistaken Belief in Age: s.150.1(4)</w:t>
      </w:r>
      <w:bookmarkEnd w:id="32"/>
    </w:p>
    <w:p w14:paraId="6F8A8507" w14:textId="77777777" w:rsidR="00CF0714" w:rsidRPr="001B3304" w:rsidRDefault="00CF0714" w:rsidP="003E1822">
      <w:pPr>
        <w:pStyle w:val="NoSpacing"/>
        <w:rPr>
          <w:szCs w:val="24"/>
        </w:rPr>
      </w:pPr>
    </w:p>
    <w:p w14:paraId="301E519C" w14:textId="77777777" w:rsidR="00CF0714" w:rsidRPr="001B3304" w:rsidRDefault="00CF0714" w:rsidP="003E1822">
      <w:pPr>
        <w:pStyle w:val="NoSpacing"/>
        <w:rPr>
          <w:szCs w:val="24"/>
        </w:rPr>
      </w:pPr>
      <w:r w:rsidRPr="001B3304">
        <w:rPr>
          <w:szCs w:val="24"/>
        </w:rPr>
        <w:t xml:space="preserve">Where a mistake of age </w:t>
      </w:r>
      <w:proofErr w:type="spellStart"/>
      <w:r w:rsidRPr="001B3304">
        <w:rPr>
          <w:szCs w:val="24"/>
        </w:rPr>
        <w:t>defence</w:t>
      </w:r>
      <w:proofErr w:type="spellEnd"/>
      <w:r w:rsidRPr="001B3304">
        <w:rPr>
          <w:szCs w:val="24"/>
        </w:rPr>
        <w:t xml:space="preserve"> is raised under </w:t>
      </w:r>
      <w:r w:rsidRPr="001B3304">
        <w:rPr>
          <w:szCs w:val="24"/>
          <w:u w:val="single"/>
        </w:rPr>
        <w:t>s. 150.1(4)</w:t>
      </w:r>
      <w:r w:rsidRPr="001B3304">
        <w:rPr>
          <w:szCs w:val="24"/>
        </w:rPr>
        <w:t xml:space="preserve">, the accused must point to some evidence that he or she honestly believed the complainant was 16 </w:t>
      </w:r>
      <w:r w:rsidRPr="001B3304">
        <w:rPr>
          <w:szCs w:val="24"/>
        </w:rPr>
        <w:lastRenderedPageBreak/>
        <w:t xml:space="preserve">years or more and that he or she took all reasonable steps to ascertain the complainant’s age. If the accused meets this evidentiary burden, the Crown is required to prove beyond a reasonable doubt that the accused did not have the requisite belief or that he or she failed to take all reasonable steps to ascertain the complainant’s age: </w:t>
      </w:r>
      <w:r w:rsidRPr="001B3304">
        <w:rPr>
          <w:i/>
          <w:iCs/>
          <w:szCs w:val="24"/>
        </w:rPr>
        <w:t>R v Chapman, </w:t>
      </w:r>
      <w:r w:rsidRPr="001B3304">
        <w:rPr>
          <w:szCs w:val="24"/>
          <w:u w:val="single"/>
        </w:rPr>
        <w:t>2016 ONCA 310</w:t>
      </w:r>
      <w:r w:rsidRPr="001B3304">
        <w:rPr>
          <w:szCs w:val="24"/>
        </w:rPr>
        <w:t> para 36 </w:t>
      </w:r>
    </w:p>
    <w:p w14:paraId="162D8F16" w14:textId="77777777" w:rsidR="00CF0714" w:rsidRPr="001B3304" w:rsidRDefault="00CF0714" w:rsidP="003E1822">
      <w:pPr>
        <w:pStyle w:val="NoSpacing"/>
        <w:rPr>
          <w:szCs w:val="24"/>
        </w:rPr>
      </w:pPr>
    </w:p>
    <w:p w14:paraId="6CD7086B" w14:textId="77777777" w:rsidR="00CF0714" w:rsidRPr="001B3304" w:rsidRDefault="00CF0714" w:rsidP="003E1822">
      <w:pPr>
        <w:pStyle w:val="NoSpacing"/>
        <w:rPr>
          <w:szCs w:val="24"/>
        </w:rPr>
      </w:pPr>
      <w:r w:rsidRPr="001B3304">
        <w:rPr>
          <w:szCs w:val="24"/>
        </w:rPr>
        <w:t xml:space="preserve">While the law does not require the accused’s testimony to establish an air of reality to the </w:t>
      </w:r>
      <w:proofErr w:type="spellStart"/>
      <w:r w:rsidRPr="001B3304">
        <w:rPr>
          <w:szCs w:val="24"/>
        </w:rPr>
        <w:t>defence</w:t>
      </w:r>
      <w:proofErr w:type="spellEnd"/>
      <w:r w:rsidRPr="001B3304">
        <w:rPr>
          <w:szCs w:val="24"/>
        </w:rPr>
        <w:t xml:space="preserve"> of honest but mistaken belief in consent, the air of reality of the </w:t>
      </w:r>
      <w:proofErr w:type="spellStart"/>
      <w:r w:rsidRPr="001B3304">
        <w:rPr>
          <w:szCs w:val="24"/>
        </w:rPr>
        <w:t>defence</w:t>
      </w:r>
      <w:proofErr w:type="spellEnd"/>
      <w:r w:rsidRPr="001B3304">
        <w:rPr>
          <w:szCs w:val="24"/>
        </w:rPr>
        <w:t xml:space="preserve"> may be negated by his testimony (e.g., where he asserts he had no sexual contact of any kind with the complainant): </w:t>
      </w:r>
      <w:r w:rsidRPr="001B3304">
        <w:rPr>
          <w:i/>
          <w:iCs/>
          <w:szCs w:val="24"/>
        </w:rPr>
        <w:t>R v. ADH</w:t>
      </w:r>
      <w:r w:rsidRPr="001B3304">
        <w:rPr>
          <w:szCs w:val="24"/>
        </w:rPr>
        <w:t xml:space="preserve">, </w:t>
      </w:r>
      <w:r w:rsidRPr="001B3304">
        <w:rPr>
          <w:szCs w:val="24"/>
          <w:u w:val="single"/>
        </w:rPr>
        <w:t>2015 ONCA 690</w:t>
      </w:r>
    </w:p>
    <w:p w14:paraId="106AF160" w14:textId="77777777" w:rsidR="00CF0714" w:rsidRPr="001B3304" w:rsidRDefault="00CF0714" w:rsidP="003E1822">
      <w:pPr>
        <w:pStyle w:val="NoSpacing"/>
        <w:rPr>
          <w:szCs w:val="24"/>
        </w:rPr>
      </w:pPr>
      <w:r w:rsidRPr="001B3304">
        <w:rPr>
          <w:szCs w:val="24"/>
        </w:rPr>
        <w:t>​</w:t>
      </w:r>
    </w:p>
    <w:p w14:paraId="71BAB721" w14:textId="77777777" w:rsidR="00CF0714" w:rsidRPr="001B3304" w:rsidRDefault="00CF0714" w:rsidP="003E1822">
      <w:pPr>
        <w:pStyle w:val="NoSpacing"/>
        <w:rPr>
          <w:szCs w:val="24"/>
        </w:rPr>
      </w:pPr>
      <w:r w:rsidRPr="001B3304">
        <w:rPr>
          <w:szCs w:val="24"/>
        </w:rPr>
        <w:t xml:space="preserve">The jurisprudence provides that the requirement set out in </w:t>
      </w:r>
      <w:r w:rsidRPr="001B3304">
        <w:rPr>
          <w:szCs w:val="24"/>
          <w:u w:val="single"/>
        </w:rPr>
        <w:t>s. 150.1(4)</w:t>
      </w:r>
      <w:r w:rsidRPr="001B3304">
        <w:rPr>
          <w:szCs w:val="24"/>
        </w:rPr>
        <w:t xml:space="preserve"> is an earnest inquiry </w:t>
      </w:r>
      <w:r w:rsidRPr="001B3304">
        <w:rPr>
          <w:szCs w:val="24"/>
          <w:u w:val="single"/>
        </w:rPr>
        <w:t>or</w:t>
      </w:r>
      <w:r w:rsidRPr="001B3304">
        <w:rPr>
          <w:szCs w:val="24"/>
        </w:rPr>
        <w:t> some other compelling factor which negates the need for an inquiry. Whether an accused took all reasonable steps is fact-specific and depends on the circumstances: </w:t>
      </w:r>
      <w:r w:rsidRPr="001B3304">
        <w:rPr>
          <w:i/>
          <w:iCs/>
          <w:szCs w:val="24"/>
        </w:rPr>
        <w:t> Chapman</w:t>
      </w:r>
      <w:r w:rsidRPr="001B3304">
        <w:rPr>
          <w:szCs w:val="24"/>
        </w:rPr>
        <w:t> at paras 28-30. The more reasonable an accused’s perception of the complainant’s age, the fewer steps reasonably required of them:  </w:t>
      </w:r>
      <w:r w:rsidRPr="001B3304">
        <w:rPr>
          <w:i/>
          <w:iCs/>
          <w:szCs w:val="24"/>
        </w:rPr>
        <w:t>R v George, </w:t>
      </w:r>
      <w:r w:rsidRPr="001B3304">
        <w:rPr>
          <w:szCs w:val="24"/>
          <w:u w:val="single"/>
        </w:rPr>
        <w:t>2017 SCC 38</w:t>
      </w:r>
      <w:r w:rsidRPr="001B3304">
        <w:rPr>
          <w:i/>
          <w:iCs/>
          <w:szCs w:val="24"/>
        </w:rPr>
        <w:t> </w:t>
      </w:r>
    </w:p>
    <w:p w14:paraId="2310633A" w14:textId="77777777" w:rsidR="00CF0714" w:rsidRPr="001B3304" w:rsidRDefault="00CF0714" w:rsidP="003E1822">
      <w:pPr>
        <w:pStyle w:val="NoSpacing"/>
        <w:rPr>
          <w:szCs w:val="24"/>
        </w:rPr>
      </w:pPr>
      <w:r w:rsidRPr="001B3304">
        <w:rPr>
          <w:szCs w:val="24"/>
        </w:rPr>
        <w:t>​</w:t>
      </w:r>
    </w:p>
    <w:p w14:paraId="46BB73D3" w14:textId="77777777" w:rsidR="00CF0714" w:rsidRPr="001B3304" w:rsidRDefault="00CF0714" w:rsidP="003E1822">
      <w:pPr>
        <w:pStyle w:val="NoSpacing"/>
        <w:rPr>
          <w:szCs w:val="24"/>
        </w:rPr>
      </w:pPr>
      <w:r w:rsidRPr="001B3304">
        <w:rPr>
          <w:szCs w:val="24"/>
        </w:rPr>
        <w:t>There must be some compelling factor that obviates the need for an enquiry by the accused and the accused’s subjective belief as to the complainant’s age is relevant but not determinative of this question: </w:t>
      </w:r>
      <w:r w:rsidRPr="001B3304">
        <w:rPr>
          <w:i/>
          <w:iCs/>
          <w:szCs w:val="24"/>
        </w:rPr>
        <w:t>Chapman </w:t>
      </w:r>
      <w:r w:rsidRPr="001B3304">
        <w:rPr>
          <w:szCs w:val="24"/>
        </w:rPr>
        <w:t>at para 31</w:t>
      </w:r>
    </w:p>
    <w:p w14:paraId="205731A2" w14:textId="77777777" w:rsidR="00CF0714" w:rsidRPr="001B3304" w:rsidRDefault="00CF0714" w:rsidP="003E1822">
      <w:pPr>
        <w:pStyle w:val="NoSpacing"/>
        <w:rPr>
          <w:szCs w:val="24"/>
        </w:rPr>
      </w:pPr>
      <w:r w:rsidRPr="001B3304">
        <w:rPr>
          <w:szCs w:val="24"/>
        </w:rPr>
        <w:t>​</w:t>
      </w:r>
    </w:p>
    <w:p w14:paraId="4C17CE5F" w14:textId="77777777" w:rsidR="00CF0714" w:rsidRPr="001B3304" w:rsidRDefault="00CF0714" w:rsidP="003E1822">
      <w:pPr>
        <w:pStyle w:val="NoSpacing"/>
        <w:rPr>
          <w:szCs w:val="24"/>
        </w:rPr>
      </w:pPr>
      <w:r w:rsidRPr="001B3304">
        <w:rPr>
          <w:szCs w:val="24"/>
        </w:rPr>
        <w:t>The word “all” in respect of referencing “reasonable steps” is important. While it is only necessary for the accused to create a reasonable doubt, the evidence which he uses to establish such doubt must be directed to the word [“all”] as much as to any other part of the subsection: </w:t>
      </w:r>
      <w:r w:rsidRPr="001B3304">
        <w:rPr>
          <w:i/>
          <w:iCs/>
          <w:szCs w:val="24"/>
        </w:rPr>
        <w:t>Chapman </w:t>
      </w:r>
      <w:r w:rsidRPr="001B3304">
        <w:rPr>
          <w:szCs w:val="24"/>
        </w:rPr>
        <w:t>at para 32</w:t>
      </w:r>
    </w:p>
    <w:p w14:paraId="4854E708" w14:textId="77777777" w:rsidR="00CF0714" w:rsidRPr="001B3304" w:rsidRDefault="00CF0714" w:rsidP="003E1822">
      <w:pPr>
        <w:pStyle w:val="NoSpacing"/>
        <w:rPr>
          <w:szCs w:val="24"/>
        </w:rPr>
      </w:pPr>
      <w:r w:rsidRPr="001B3304">
        <w:rPr>
          <w:szCs w:val="24"/>
        </w:rPr>
        <w:t>​</w:t>
      </w:r>
    </w:p>
    <w:p w14:paraId="7C2FF38C" w14:textId="77777777" w:rsidR="00CF0714" w:rsidRPr="001B3304" w:rsidRDefault="00CF0714" w:rsidP="003E1822">
      <w:pPr>
        <w:pStyle w:val="NoSpacing"/>
        <w:rPr>
          <w:szCs w:val="24"/>
        </w:rPr>
      </w:pPr>
      <w:r w:rsidRPr="001B3304">
        <w:rPr>
          <w:szCs w:val="24"/>
        </w:rPr>
        <w:t xml:space="preserve">One important part of the analysis is whether the complainants had portrayed themselves as “older than 16,” including their age-related appearance, statements, </w:t>
      </w:r>
      <w:proofErr w:type="spellStart"/>
      <w:r w:rsidRPr="001B3304">
        <w:rPr>
          <w:szCs w:val="24"/>
        </w:rPr>
        <w:t>behaviour</w:t>
      </w:r>
      <w:proofErr w:type="spellEnd"/>
      <w:r w:rsidRPr="001B3304">
        <w:rPr>
          <w:szCs w:val="24"/>
        </w:rPr>
        <w:t>, and conduct: </w:t>
      </w:r>
      <w:r w:rsidRPr="001B3304">
        <w:rPr>
          <w:i/>
          <w:iCs/>
          <w:szCs w:val="24"/>
        </w:rPr>
        <w:t>Chapman </w:t>
      </w:r>
      <w:r w:rsidRPr="001B3304">
        <w:rPr>
          <w:szCs w:val="24"/>
        </w:rPr>
        <w:t>at para 33</w:t>
      </w:r>
    </w:p>
    <w:p w14:paraId="569F334D" w14:textId="77777777" w:rsidR="00CF0714" w:rsidRPr="001B3304" w:rsidRDefault="00CF0714" w:rsidP="003E1822">
      <w:pPr>
        <w:pStyle w:val="NoSpacing"/>
        <w:rPr>
          <w:szCs w:val="24"/>
        </w:rPr>
      </w:pPr>
      <w:r w:rsidRPr="001B3304">
        <w:rPr>
          <w:szCs w:val="24"/>
        </w:rPr>
        <w:t>​</w:t>
      </w:r>
    </w:p>
    <w:p w14:paraId="347FEB1D" w14:textId="77777777" w:rsidR="00CF0714" w:rsidRPr="001B3304" w:rsidRDefault="00CF0714" w:rsidP="003E1822">
      <w:pPr>
        <w:pStyle w:val="NoSpacing"/>
        <w:rPr>
          <w:szCs w:val="24"/>
        </w:rPr>
      </w:pPr>
      <w:r w:rsidRPr="001B3304">
        <w:rPr>
          <w:szCs w:val="24"/>
        </w:rPr>
        <w:t xml:space="preserve">What steps would have been reasonable for the accused to takes depends on the circumstances. Sometimes a visual observation alone may suffice.  Whether further steps would be reasonable would depend upon the apparent indicia of the complainant’s age, and the accused’s knowledge of same, including: the accused’s knowledge of the complainant’s physical appearance and </w:t>
      </w:r>
      <w:proofErr w:type="spellStart"/>
      <w:r w:rsidRPr="001B3304">
        <w:rPr>
          <w:szCs w:val="24"/>
        </w:rPr>
        <w:t>behaviour</w:t>
      </w:r>
      <w:proofErr w:type="spellEnd"/>
      <w:r w:rsidRPr="001B3304">
        <w:rPr>
          <w:szCs w:val="24"/>
        </w:rPr>
        <w:t xml:space="preserve">; the ages and appearance of others in whose company the complainant is found; the activities engaged in either by the complainant individually, or as part of a group; the times, places, and other circumstances in which the complainant and </w:t>
      </w:r>
      <w:r w:rsidRPr="001B3304">
        <w:rPr>
          <w:szCs w:val="24"/>
        </w:rPr>
        <w:lastRenderedPageBreak/>
        <w:t>her conduct are observed by the accused, and the age differential between the appellant and the complainant: Chapman at paras 41, 42, 43</w:t>
      </w:r>
    </w:p>
    <w:p w14:paraId="2A6B7EB8" w14:textId="77777777" w:rsidR="00CF0714" w:rsidRPr="001B3304" w:rsidRDefault="00CF0714" w:rsidP="003E1822">
      <w:pPr>
        <w:pStyle w:val="NoSpacing"/>
        <w:rPr>
          <w:szCs w:val="24"/>
        </w:rPr>
      </w:pPr>
    </w:p>
    <w:p w14:paraId="78E921BF" w14:textId="77777777" w:rsidR="00CF0714" w:rsidRPr="001B3304" w:rsidRDefault="00CF0714" w:rsidP="003E1822">
      <w:pPr>
        <w:pStyle w:val="NoSpacing"/>
        <w:rPr>
          <w:szCs w:val="24"/>
        </w:rPr>
      </w:pPr>
      <w:r w:rsidRPr="001B3304">
        <w:rPr>
          <w:szCs w:val="24"/>
        </w:rPr>
        <w:t>Note, however, that a reasonable person would appreciate that underage children may apply make-up and dress and act so as to appear older: </w:t>
      </w:r>
      <w:r w:rsidRPr="001B3304">
        <w:rPr>
          <w:i/>
          <w:iCs/>
          <w:szCs w:val="24"/>
        </w:rPr>
        <w:t>Chapman </w:t>
      </w:r>
      <w:r w:rsidRPr="001B3304">
        <w:rPr>
          <w:szCs w:val="24"/>
        </w:rPr>
        <w:t>at para 53</w:t>
      </w:r>
    </w:p>
    <w:p w14:paraId="22C0927A" w14:textId="77777777" w:rsidR="00CF0714" w:rsidRPr="001B3304" w:rsidRDefault="00CF0714" w:rsidP="003E1822">
      <w:pPr>
        <w:pStyle w:val="NoSpacing"/>
        <w:rPr>
          <w:szCs w:val="24"/>
        </w:rPr>
      </w:pPr>
    </w:p>
    <w:p w14:paraId="50C00FFC" w14:textId="77777777" w:rsidR="00CF0714" w:rsidRPr="001B3304" w:rsidRDefault="00CF0714" w:rsidP="003E1822">
      <w:pPr>
        <w:pStyle w:val="NoSpacing"/>
        <w:rPr>
          <w:szCs w:val="24"/>
        </w:rPr>
      </w:pPr>
      <w:r w:rsidRPr="001B3304">
        <w:rPr>
          <w:szCs w:val="24"/>
        </w:rPr>
        <w:t>Evidence as to the accused’s subjective state of mind is relevant but not conclusive because an accused may believe that he or she has taken all reasonable steps only to find that the trial judge or jury may find differently: </w:t>
      </w:r>
      <w:r w:rsidRPr="001B3304">
        <w:rPr>
          <w:i/>
          <w:iCs/>
          <w:szCs w:val="24"/>
        </w:rPr>
        <w:t>Chapman </w:t>
      </w:r>
      <w:r w:rsidRPr="001B3304">
        <w:rPr>
          <w:szCs w:val="24"/>
        </w:rPr>
        <w:t>at para 41</w:t>
      </w:r>
    </w:p>
    <w:p w14:paraId="73322331" w14:textId="77777777" w:rsidR="00CF0714" w:rsidRPr="001B3304" w:rsidRDefault="00CF0714" w:rsidP="003E1822">
      <w:pPr>
        <w:pStyle w:val="NoSpacing"/>
        <w:rPr>
          <w:szCs w:val="24"/>
        </w:rPr>
      </w:pPr>
      <w:r w:rsidRPr="001B3304">
        <w:rPr>
          <w:szCs w:val="24"/>
        </w:rPr>
        <w:t>​</w:t>
      </w:r>
    </w:p>
    <w:p w14:paraId="657CF72D" w14:textId="77777777" w:rsidR="00CF0714" w:rsidRPr="001B3304" w:rsidRDefault="00CF0714" w:rsidP="003E1822">
      <w:pPr>
        <w:pStyle w:val="NoSpacing"/>
        <w:rPr>
          <w:szCs w:val="24"/>
        </w:rPr>
      </w:pPr>
      <w:r w:rsidRPr="001B3304">
        <w:rPr>
          <w:szCs w:val="24"/>
        </w:rPr>
        <w:t xml:space="preserve">In order to avail himself of the </w:t>
      </w:r>
      <w:proofErr w:type="spellStart"/>
      <w:r w:rsidRPr="001B3304">
        <w:rPr>
          <w:szCs w:val="24"/>
        </w:rPr>
        <w:t>defence</w:t>
      </w:r>
      <w:proofErr w:type="spellEnd"/>
      <w:r w:rsidRPr="001B3304">
        <w:rPr>
          <w:szCs w:val="24"/>
        </w:rPr>
        <w:t>, an accused need not always expressly question a complainant about his or her age, or otherwise seek and obtain conclusive proof of age: </w:t>
      </w:r>
      <w:r w:rsidRPr="001B3304">
        <w:rPr>
          <w:i/>
          <w:iCs/>
          <w:szCs w:val="24"/>
        </w:rPr>
        <w:t>Chapman </w:t>
      </w:r>
      <w:r w:rsidRPr="001B3304">
        <w:rPr>
          <w:szCs w:val="24"/>
        </w:rPr>
        <w:t>at para 50 </w:t>
      </w:r>
    </w:p>
    <w:p w14:paraId="0623543D" w14:textId="77777777" w:rsidR="00CF0714" w:rsidRPr="001B3304" w:rsidRDefault="00CF0714" w:rsidP="003E1822">
      <w:pPr>
        <w:pStyle w:val="NoSpacing"/>
        <w:rPr>
          <w:szCs w:val="24"/>
        </w:rPr>
      </w:pPr>
      <w:r w:rsidRPr="001B3304">
        <w:rPr>
          <w:szCs w:val="24"/>
        </w:rPr>
        <w:t>​</w:t>
      </w:r>
    </w:p>
    <w:p w14:paraId="1463684D" w14:textId="3103C081" w:rsidR="00CF0714" w:rsidRPr="001B3304" w:rsidRDefault="00CF0714" w:rsidP="003E1822">
      <w:pPr>
        <w:pStyle w:val="NoSpacing"/>
        <w:rPr>
          <w:i/>
          <w:iCs/>
          <w:szCs w:val="24"/>
        </w:rPr>
      </w:pPr>
      <w:r w:rsidRPr="001B3304">
        <w:rPr>
          <w:szCs w:val="24"/>
        </w:rPr>
        <w:t xml:space="preserve">Reasonable steps must precede the sexual activity but the evidence to prove reasonable steps need not. When determining the relevance of evidence, both its purpose and its timing must be considered. Evidence properly informing the credibility or reliability of any witness, even if that evidence arose after the sexual activity in question, may be considered by the trier of </w:t>
      </w:r>
      <w:proofErr w:type="spellStart"/>
      <w:r w:rsidRPr="001B3304">
        <w:rPr>
          <w:szCs w:val="24"/>
        </w:rPr>
        <w:t>facy</w:t>
      </w:r>
      <w:proofErr w:type="spellEnd"/>
      <w:r w:rsidRPr="001B3304">
        <w:rPr>
          <w:szCs w:val="24"/>
        </w:rPr>
        <w:t>. Similarly, evidence demonstrating the reasonableness of the accused person’s perception of the complainant’s age before sexual contact is relevant, even if that evidence happens to arise after the sexual activity or was not known to the accused before the sexual activity: </w:t>
      </w:r>
      <w:r w:rsidR="001407F6" w:rsidRPr="001B3304">
        <w:rPr>
          <w:i/>
          <w:iCs/>
          <w:szCs w:val="24"/>
        </w:rPr>
        <w:t>R v George, </w:t>
      </w:r>
      <w:r w:rsidR="001407F6" w:rsidRPr="001B3304">
        <w:rPr>
          <w:szCs w:val="24"/>
          <w:u w:val="single"/>
        </w:rPr>
        <w:t>2017 SCC 38</w:t>
      </w:r>
      <w:r w:rsidR="001407F6" w:rsidRPr="001B3304">
        <w:rPr>
          <w:i/>
          <w:iCs/>
          <w:szCs w:val="24"/>
        </w:rPr>
        <w:t> </w:t>
      </w:r>
    </w:p>
    <w:p w14:paraId="77FCD260" w14:textId="391FB1F3" w:rsidR="001407F6" w:rsidRPr="001B3304" w:rsidRDefault="001407F6" w:rsidP="003E1822">
      <w:pPr>
        <w:pStyle w:val="NoSpacing"/>
        <w:rPr>
          <w:i/>
          <w:iCs/>
          <w:szCs w:val="24"/>
        </w:rPr>
      </w:pPr>
    </w:p>
    <w:p w14:paraId="0FFA8189" w14:textId="0A586708" w:rsidR="001407F6" w:rsidRPr="001B3304" w:rsidRDefault="001407F6" w:rsidP="003E1822">
      <w:pPr>
        <w:pStyle w:val="NoSpacing"/>
        <w:rPr>
          <w:color w:val="000000"/>
          <w:szCs w:val="24"/>
        </w:rPr>
      </w:pPr>
      <w:r w:rsidRPr="001B3304">
        <w:rPr>
          <w:szCs w:val="24"/>
        </w:rPr>
        <w:t xml:space="preserve">In some cases, an accused’s visual observation of the complainant may be enough to constitute reasonable steps: </w:t>
      </w:r>
      <w:r w:rsidRPr="001B3304">
        <w:rPr>
          <w:i/>
          <w:iCs/>
          <w:color w:val="000000"/>
          <w:szCs w:val="24"/>
        </w:rPr>
        <w:t>R. v. Duran</w:t>
      </w:r>
      <w:r w:rsidRPr="001B3304">
        <w:rPr>
          <w:color w:val="000000"/>
          <w:szCs w:val="24"/>
        </w:rPr>
        <w:t>, 2013 ONCA 343, at para. 52:</w:t>
      </w:r>
    </w:p>
    <w:p w14:paraId="7C754B3C" w14:textId="3AD438E1" w:rsidR="002A2B17" w:rsidRPr="001B3304" w:rsidRDefault="002A2B17" w:rsidP="003E1822">
      <w:pPr>
        <w:pStyle w:val="NoSpacing"/>
        <w:rPr>
          <w:color w:val="000000"/>
          <w:szCs w:val="24"/>
        </w:rPr>
      </w:pPr>
    </w:p>
    <w:p w14:paraId="190FB660" w14:textId="599F746B" w:rsidR="002A2B17" w:rsidRPr="001B3304" w:rsidRDefault="002A2B17" w:rsidP="002A2B17">
      <w:pPr>
        <w:pStyle w:val="NoSpacing"/>
        <w:rPr>
          <w:szCs w:val="24"/>
        </w:rPr>
      </w:pPr>
      <w:r w:rsidRPr="001B3304">
        <w:rPr>
          <w:szCs w:val="24"/>
        </w:rPr>
        <w:t>In most cases, an accused who never turns their mind to the age of the other person is properly characterized as reckless. Reckless indifference also describes a subjective state of mind, a choice to treat age as irrelevant and to assume the risk associated with that choice: </w:t>
      </w:r>
      <w:r w:rsidRPr="001B3304">
        <w:rPr>
          <w:i/>
          <w:iCs/>
          <w:szCs w:val="24"/>
        </w:rPr>
        <w:t xml:space="preserve">R v </w:t>
      </w:r>
      <w:proofErr w:type="spellStart"/>
      <w:r w:rsidRPr="001B3304">
        <w:rPr>
          <w:i/>
          <w:iCs/>
          <w:szCs w:val="24"/>
        </w:rPr>
        <w:t>Alexozai</w:t>
      </w:r>
      <w:proofErr w:type="spellEnd"/>
      <w:r w:rsidRPr="001B3304">
        <w:rPr>
          <w:i/>
          <w:iCs/>
          <w:szCs w:val="24"/>
        </w:rPr>
        <w:t xml:space="preserve">, </w:t>
      </w:r>
      <w:hyperlink r:id="rId18" w:history="1">
        <w:r w:rsidRPr="001B3304">
          <w:rPr>
            <w:rStyle w:val="Hyperlink"/>
            <w:szCs w:val="24"/>
          </w:rPr>
          <w:t>2021 ONCA 633</w:t>
        </w:r>
      </w:hyperlink>
      <w:r w:rsidRPr="001B3304">
        <w:rPr>
          <w:szCs w:val="24"/>
        </w:rPr>
        <w:t>, at para 42</w:t>
      </w:r>
    </w:p>
    <w:p w14:paraId="1D4BF9D6" w14:textId="06BC4982" w:rsidR="008C2FE7" w:rsidRPr="001B3304" w:rsidRDefault="008C2FE7" w:rsidP="003E1822">
      <w:pPr>
        <w:pStyle w:val="NoSpacing"/>
        <w:rPr>
          <w:i/>
          <w:iCs/>
          <w:szCs w:val="24"/>
        </w:rPr>
      </w:pPr>
    </w:p>
    <w:p w14:paraId="005CADA3" w14:textId="0A532872" w:rsidR="008C2FE7" w:rsidRPr="001B3304" w:rsidRDefault="008C2FE7" w:rsidP="003E1822">
      <w:pPr>
        <w:pStyle w:val="NoSpacing"/>
        <w:rPr>
          <w:szCs w:val="24"/>
          <w:lang w:val="en-CA"/>
        </w:rPr>
      </w:pPr>
      <w:r w:rsidRPr="001B3304">
        <w:rPr>
          <w:szCs w:val="24"/>
          <w:lang w:val="en-CA"/>
        </w:rPr>
        <w:t xml:space="preserve"> The law has long recognized the admissibility of a witness’s inference about apparent age. It is no more “impressionistic” or improperly speculative for a judge to draw such an inference than it is for a witness to do so: </w:t>
      </w:r>
      <w:r w:rsidRPr="001B3304">
        <w:rPr>
          <w:i/>
          <w:iCs/>
          <w:szCs w:val="24"/>
          <w:lang w:val="en-CA"/>
        </w:rPr>
        <w:t xml:space="preserve">R v KS, </w:t>
      </w:r>
      <w:hyperlink r:id="rId19" w:history="1">
        <w:r w:rsidRPr="001B3304">
          <w:rPr>
            <w:rStyle w:val="Hyperlink"/>
            <w:szCs w:val="24"/>
            <w:lang w:val="en-CA"/>
          </w:rPr>
          <w:t>2019 ONCA 474</w:t>
        </w:r>
      </w:hyperlink>
      <w:r w:rsidRPr="001B3304">
        <w:rPr>
          <w:szCs w:val="24"/>
          <w:lang w:val="en-CA"/>
        </w:rPr>
        <w:t>, at para 9</w:t>
      </w:r>
    </w:p>
    <w:p w14:paraId="1E821074" w14:textId="7EBE077B" w:rsidR="00FD2212" w:rsidRPr="001B3304" w:rsidRDefault="00FD2212" w:rsidP="003E1822">
      <w:pPr>
        <w:pStyle w:val="NoSpacing"/>
        <w:rPr>
          <w:i/>
          <w:iCs/>
          <w:szCs w:val="24"/>
        </w:rPr>
      </w:pPr>
    </w:p>
    <w:p w14:paraId="52E0DBEC" w14:textId="1761BC9C" w:rsidR="008C2FE7" w:rsidRPr="001B3304" w:rsidRDefault="00FD2212" w:rsidP="003E1822">
      <w:pPr>
        <w:pStyle w:val="NoSpacing"/>
        <w:rPr>
          <w:iCs/>
          <w:szCs w:val="24"/>
        </w:rPr>
      </w:pPr>
      <w:r w:rsidRPr="001B3304">
        <w:rPr>
          <w:iCs/>
          <w:szCs w:val="24"/>
        </w:rPr>
        <w:t xml:space="preserve">In </w:t>
      </w:r>
      <w:proofErr w:type="spellStart"/>
      <w:r w:rsidRPr="001B3304">
        <w:rPr>
          <w:i/>
          <w:iCs/>
          <w:szCs w:val="24"/>
        </w:rPr>
        <w:t>Saliba</w:t>
      </w:r>
      <w:proofErr w:type="spellEnd"/>
      <w:r w:rsidRPr="001B3304">
        <w:rPr>
          <w:i/>
          <w:iCs/>
          <w:szCs w:val="24"/>
        </w:rPr>
        <w:t xml:space="preserve">, </w:t>
      </w:r>
      <w:r w:rsidRPr="001B3304">
        <w:rPr>
          <w:iCs/>
          <w:szCs w:val="24"/>
        </w:rPr>
        <w:t xml:space="preserve">the Court of Appeal found that the trial judge was correct to admit evidence that, in a previous case, the accused had failed to inquire about the age of another complainant, who had lied to him about her age. This was relevant to </w:t>
      </w:r>
      <w:r w:rsidRPr="001B3304">
        <w:rPr>
          <w:iCs/>
          <w:szCs w:val="24"/>
        </w:rPr>
        <w:lastRenderedPageBreak/>
        <w:t xml:space="preserve">the “reasonable steps” inquiry in respect of the complainant in the present case: </w:t>
      </w:r>
      <w:r w:rsidRPr="001B3304">
        <w:rPr>
          <w:i/>
          <w:iCs/>
          <w:szCs w:val="24"/>
        </w:rPr>
        <w:t xml:space="preserve">R v </w:t>
      </w:r>
      <w:proofErr w:type="spellStart"/>
      <w:r w:rsidRPr="001B3304">
        <w:rPr>
          <w:i/>
          <w:iCs/>
          <w:szCs w:val="24"/>
        </w:rPr>
        <w:t>Saliba</w:t>
      </w:r>
      <w:proofErr w:type="spellEnd"/>
      <w:r w:rsidRPr="001B3304">
        <w:rPr>
          <w:i/>
          <w:iCs/>
          <w:szCs w:val="24"/>
        </w:rPr>
        <w:t xml:space="preserve">, </w:t>
      </w:r>
      <w:hyperlink r:id="rId20" w:history="1">
        <w:r w:rsidRPr="001B3304">
          <w:rPr>
            <w:rStyle w:val="Hyperlink"/>
            <w:iCs/>
            <w:szCs w:val="24"/>
          </w:rPr>
          <w:t>2019 ONCA 22</w:t>
        </w:r>
      </w:hyperlink>
      <w:r w:rsidRPr="001B3304">
        <w:rPr>
          <w:iCs/>
          <w:szCs w:val="24"/>
        </w:rPr>
        <w:t>, at paras 6-7</w:t>
      </w:r>
    </w:p>
    <w:p w14:paraId="44A51808" w14:textId="4B2FD5CF" w:rsidR="00CF0714" w:rsidRPr="001B3304" w:rsidRDefault="00CF0714" w:rsidP="003E1822">
      <w:pPr>
        <w:pStyle w:val="NoSpacing"/>
        <w:rPr>
          <w:i/>
          <w:iCs/>
          <w:szCs w:val="24"/>
        </w:rPr>
      </w:pPr>
      <w:r w:rsidRPr="001B3304">
        <w:rPr>
          <w:i/>
          <w:iCs/>
          <w:szCs w:val="24"/>
        </w:rPr>
        <w:t>​</w:t>
      </w:r>
    </w:p>
    <w:p w14:paraId="25150AFD" w14:textId="42EBD089" w:rsidR="002A2B17" w:rsidRPr="001B3304" w:rsidRDefault="002A2B17" w:rsidP="002A2B17">
      <w:pPr>
        <w:pStyle w:val="NoSpacing"/>
        <w:rPr>
          <w:szCs w:val="24"/>
        </w:rPr>
      </w:pPr>
      <w:r w:rsidRPr="001B3304">
        <w:rPr>
          <w:szCs w:val="24"/>
        </w:rPr>
        <w:t xml:space="preserve">The Crown may negate the </w:t>
      </w:r>
      <w:proofErr w:type="spellStart"/>
      <w:r w:rsidRPr="001B3304">
        <w:rPr>
          <w:szCs w:val="24"/>
        </w:rPr>
        <w:t>defence</w:t>
      </w:r>
      <w:proofErr w:type="spellEnd"/>
      <w:r w:rsidRPr="001B3304">
        <w:rPr>
          <w:szCs w:val="24"/>
        </w:rPr>
        <w:t xml:space="preserve"> of mistaken belief in age in either of two ways. The Crown may prove that the accused did not honestly believe that the other person was at least 18 years old at the time of the offence. Or the Crown may prove that, despite the accused’s claim that they honestly believed that the other person was at least 18, the accused did not take all reasonable steps to ascertain the other person’s age: </w:t>
      </w:r>
      <w:r w:rsidRPr="001B3304">
        <w:rPr>
          <w:i/>
          <w:iCs/>
          <w:szCs w:val="24"/>
        </w:rPr>
        <w:t xml:space="preserve">R v </w:t>
      </w:r>
      <w:proofErr w:type="spellStart"/>
      <w:r w:rsidRPr="001B3304">
        <w:rPr>
          <w:i/>
          <w:iCs/>
          <w:szCs w:val="24"/>
        </w:rPr>
        <w:t>Alexozai</w:t>
      </w:r>
      <w:proofErr w:type="spellEnd"/>
      <w:r w:rsidRPr="001B3304">
        <w:rPr>
          <w:i/>
          <w:iCs/>
          <w:szCs w:val="24"/>
        </w:rPr>
        <w:t xml:space="preserve">, </w:t>
      </w:r>
      <w:hyperlink r:id="rId21" w:history="1">
        <w:r w:rsidRPr="001B3304">
          <w:rPr>
            <w:rStyle w:val="Hyperlink"/>
            <w:szCs w:val="24"/>
          </w:rPr>
          <w:t>2021 ONCA 633</w:t>
        </w:r>
      </w:hyperlink>
      <w:r w:rsidRPr="001B3304">
        <w:rPr>
          <w:szCs w:val="24"/>
        </w:rPr>
        <w:t>, at para 44</w:t>
      </w:r>
    </w:p>
    <w:p w14:paraId="052A3FBE" w14:textId="55A48F29" w:rsidR="002A2B17" w:rsidRPr="001B3304" w:rsidRDefault="002A2B17" w:rsidP="003E1822">
      <w:pPr>
        <w:pStyle w:val="NoSpacing"/>
        <w:rPr>
          <w:szCs w:val="24"/>
        </w:rPr>
      </w:pPr>
    </w:p>
    <w:p w14:paraId="74A8A989" w14:textId="15118E82" w:rsidR="008520CE" w:rsidRPr="001B3304" w:rsidRDefault="008520CE" w:rsidP="003E1822">
      <w:pPr>
        <w:pStyle w:val="Heading2"/>
        <w:spacing w:line="276" w:lineRule="auto"/>
      </w:pPr>
      <w:bookmarkStart w:id="33" w:name="_Toc134294073"/>
      <w:r w:rsidRPr="001B3304">
        <w:t>Sexual Exploitation: s.153</w:t>
      </w:r>
      <w:bookmarkEnd w:id="33"/>
    </w:p>
    <w:p w14:paraId="5FB4CCDE" w14:textId="77777777" w:rsidR="008520CE" w:rsidRPr="001B3304" w:rsidRDefault="008520CE" w:rsidP="008520CE">
      <w:pPr>
        <w:pStyle w:val="NoSpacing"/>
        <w:rPr>
          <w:szCs w:val="24"/>
        </w:rPr>
      </w:pPr>
    </w:p>
    <w:p w14:paraId="2FE3371F" w14:textId="412FDBA0" w:rsidR="008520CE" w:rsidRPr="001B3304" w:rsidRDefault="008520CE" w:rsidP="008520CE">
      <w:pPr>
        <w:pStyle w:val="NoSpacing"/>
        <w:rPr>
          <w:szCs w:val="24"/>
        </w:rPr>
      </w:pPr>
      <w:r w:rsidRPr="001B3304">
        <w:rPr>
          <w:szCs w:val="24"/>
        </w:rPr>
        <w:t xml:space="preserve">Although a 16-year-old is not entirely incapable of consenting to sex, it is arguable that because of her age she is legally incapable of consenting to sex in exchange for money. Pursuant to s. 153, a 16-year-old is incapable of consenting to sexual activity within an exploitive relationship. The relationship between the person who obtains sexual services for consideration and the sex worker is one that Parliament has chosen to treat as inherently exploitive. It is therefore possible that a CA could not consent to what was transpiring: </w:t>
      </w:r>
      <w:r w:rsidRPr="001B3304">
        <w:rPr>
          <w:i/>
          <w:iCs/>
          <w:szCs w:val="24"/>
        </w:rPr>
        <w:t xml:space="preserve">R v Joseph, </w:t>
      </w:r>
      <w:hyperlink r:id="rId22" w:history="1">
        <w:r w:rsidRPr="001B3304">
          <w:rPr>
            <w:rStyle w:val="Hyperlink"/>
            <w:szCs w:val="24"/>
          </w:rPr>
          <w:t>2021 ONCA 733</w:t>
        </w:r>
      </w:hyperlink>
      <w:r w:rsidRPr="001B3304">
        <w:rPr>
          <w:szCs w:val="24"/>
        </w:rPr>
        <w:t xml:space="preserve">, at para 100  </w:t>
      </w:r>
    </w:p>
    <w:p w14:paraId="6B4B3EE4" w14:textId="7C65E118" w:rsidR="008520CE" w:rsidRPr="001B3304" w:rsidRDefault="008520CE" w:rsidP="008520CE">
      <w:pPr>
        <w:rPr>
          <w:rFonts w:ascii="Arial" w:hAnsi="Arial" w:cs="Arial"/>
          <w:lang w:val="en-US"/>
        </w:rPr>
      </w:pPr>
    </w:p>
    <w:p w14:paraId="254A6519" w14:textId="7B5E8887" w:rsidR="00063B39" w:rsidRPr="001B3304" w:rsidRDefault="00063B39" w:rsidP="003E1822">
      <w:pPr>
        <w:pStyle w:val="Heading2"/>
        <w:spacing w:line="276" w:lineRule="auto"/>
      </w:pPr>
      <w:bookmarkStart w:id="34" w:name="_Toc134294074"/>
      <w:r w:rsidRPr="001B3304">
        <w:t>Voyeurism</w:t>
      </w:r>
      <w:r w:rsidR="008520CE" w:rsidRPr="001B3304">
        <w:t>: s.162</w:t>
      </w:r>
      <w:bookmarkEnd w:id="34"/>
    </w:p>
    <w:p w14:paraId="1306022A" w14:textId="77777777" w:rsidR="00063B39" w:rsidRPr="001B3304" w:rsidRDefault="00063B39" w:rsidP="003E1822">
      <w:pPr>
        <w:pStyle w:val="NoSpacing"/>
        <w:rPr>
          <w:szCs w:val="24"/>
          <w:lang w:val="en-CA"/>
        </w:rPr>
      </w:pPr>
      <w:r w:rsidRPr="001B3304">
        <w:rPr>
          <w:szCs w:val="24"/>
          <w:lang w:val="en-CA"/>
        </w:rPr>
        <w:t> Section 162(1)(b) requires proof of the following elements:</w:t>
      </w:r>
    </w:p>
    <w:p w14:paraId="688DD25B" w14:textId="77777777" w:rsidR="00063B39" w:rsidRPr="001B3304" w:rsidRDefault="00063B39" w:rsidP="003E1822">
      <w:pPr>
        <w:pStyle w:val="NoSpacing"/>
        <w:ind w:left="720"/>
        <w:rPr>
          <w:szCs w:val="24"/>
          <w:lang w:val="en-CA"/>
        </w:rPr>
      </w:pPr>
      <w:r w:rsidRPr="001B3304">
        <w:rPr>
          <w:szCs w:val="24"/>
          <w:lang w:val="en-CA"/>
        </w:rPr>
        <w:t>[1]  The accused observed or recorded the subject;</w:t>
      </w:r>
    </w:p>
    <w:p w14:paraId="23CBE9BE" w14:textId="77777777" w:rsidR="00063B39" w:rsidRPr="001B3304" w:rsidRDefault="00063B39" w:rsidP="003E1822">
      <w:pPr>
        <w:pStyle w:val="NoSpacing"/>
        <w:ind w:left="720"/>
        <w:rPr>
          <w:szCs w:val="24"/>
          <w:lang w:val="en-CA"/>
        </w:rPr>
      </w:pPr>
      <w:r w:rsidRPr="001B3304">
        <w:rPr>
          <w:szCs w:val="24"/>
          <w:lang w:val="en-CA"/>
        </w:rPr>
        <w:t>[2]  The accused’s observation or recording was done surreptitiously;</w:t>
      </w:r>
    </w:p>
    <w:p w14:paraId="60D2DB17" w14:textId="77777777" w:rsidR="00063B39" w:rsidRPr="001B3304" w:rsidRDefault="00063B39" w:rsidP="003E1822">
      <w:pPr>
        <w:pStyle w:val="NoSpacing"/>
        <w:ind w:left="720"/>
        <w:rPr>
          <w:szCs w:val="24"/>
          <w:lang w:val="en-CA"/>
        </w:rPr>
      </w:pPr>
      <w:r w:rsidRPr="001B3304">
        <w:rPr>
          <w:szCs w:val="24"/>
          <w:lang w:val="en-CA"/>
        </w:rPr>
        <w:t>[3]  The subject was in circumstances that gave rise to a reasonable expectation of privacy;</w:t>
      </w:r>
    </w:p>
    <w:p w14:paraId="142BDC9F" w14:textId="77777777" w:rsidR="00063B39" w:rsidRPr="001B3304" w:rsidRDefault="00063B39" w:rsidP="003E1822">
      <w:pPr>
        <w:pStyle w:val="NoSpacing"/>
        <w:ind w:left="720"/>
        <w:rPr>
          <w:szCs w:val="24"/>
          <w:lang w:val="en-CA"/>
        </w:rPr>
      </w:pPr>
      <w:r w:rsidRPr="001B3304">
        <w:rPr>
          <w:szCs w:val="24"/>
          <w:lang w:val="en-CA"/>
        </w:rPr>
        <w:t>[4]  The subject was nude or exposing sexual parts of her body or engaged in sexual activity; and</w:t>
      </w:r>
    </w:p>
    <w:p w14:paraId="7F530145" w14:textId="3930B4C6" w:rsidR="00063B39" w:rsidRPr="001B3304" w:rsidRDefault="00063B39" w:rsidP="003E1822">
      <w:pPr>
        <w:pStyle w:val="NoSpacing"/>
        <w:ind w:left="720"/>
        <w:rPr>
          <w:szCs w:val="24"/>
          <w:lang w:val="en-CA"/>
        </w:rPr>
      </w:pPr>
      <w:r w:rsidRPr="001B3304">
        <w:rPr>
          <w:szCs w:val="24"/>
          <w:lang w:val="en-CA"/>
        </w:rPr>
        <w:t>[5]  The observation or recording of the subject was done for the purpose of recording them in such a state.</w:t>
      </w:r>
    </w:p>
    <w:p w14:paraId="1C93F2FD" w14:textId="72DD8C54" w:rsidR="00063B39" w:rsidRPr="001B3304" w:rsidRDefault="00063B39" w:rsidP="003E1822">
      <w:pPr>
        <w:pStyle w:val="NoSpacing"/>
        <w:rPr>
          <w:szCs w:val="24"/>
          <w:lang w:val="en-CA"/>
        </w:rPr>
      </w:pPr>
    </w:p>
    <w:p w14:paraId="385D6A1A" w14:textId="27FF7CFF" w:rsidR="00063B39" w:rsidRPr="001B3304" w:rsidRDefault="00063B39" w:rsidP="003E1822">
      <w:pPr>
        <w:pStyle w:val="NoSpacing"/>
        <w:rPr>
          <w:szCs w:val="24"/>
          <w:lang w:val="en-CA"/>
        </w:rPr>
      </w:pPr>
      <w:r w:rsidRPr="001B3304">
        <w:rPr>
          <w:szCs w:val="24"/>
          <w:lang w:val="en-CA"/>
        </w:rPr>
        <w:t xml:space="preserve">Relevant Factors to consider include: </w:t>
      </w:r>
    </w:p>
    <w:p w14:paraId="304D29EF" w14:textId="77777777" w:rsidR="00063B39" w:rsidRPr="001B3304" w:rsidRDefault="00063B39" w:rsidP="003E1822">
      <w:pPr>
        <w:pStyle w:val="NoSpacing"/>
        <w:ind w:left="720"/>
        <w:rPr>
          <w:szCs w:val="24"/>
          <w:lang w:val="en-CA"/>
        </w:rPr>
      </w:pPr>
      <w:r w:rsidRPr="001B3304">
        <w:rPr>
          <w:szCs w:val="24"/>
          <w:lang w:val="en-CA"/>
        </w:rPr>
        <w:t>(1) the location the person was in when she was observed or recorded;</w:t>
      </w:r>
    </w:p>
    <w:p w14:paraId="1B4E8061" w14:textId="77777777" w:rsidR="00063B39" w:rsidRPr="001B3304" w:rsidRDefault="00063B39" w:rsidP="003E1822">
      <w:pPr>
        <w:pStyle w:val="NoSpacing"/>
        <w:ind w:left="720"/>
        <w:rPr>
          <w:szCs w:val="24"/>
          <w:lang w:val="en-CA"/>
        </w:rPr>
      </w:pPr>
      <w:r w:rsidRPr="001B3304">
        <w:rPr>
          <w:szCs w:val="24"/>
          <w:lang w:val="en-CA"/>
        </w:rPr>
        <w:t>(2) the nature of the impugned conduct (whether it consisted of observation or recording);</w:t>
      </w:r>
    </w:p>
    <w:p w14:paraId="2D9FD8D0" w14:textId="77777777" w:rsidR="00063B39" w:rsidRPr="001B3304" w:rsidRDefault="00063B39" w:rsidP="003E1822">
      <w:pPr>
        <w:pStyle w:val="NoSpacing"/>
        <w:ind w:left="720"/>
        <w:rPr>
          <w:szCs w:val="24"/>
          <w:lang w:val="en-CA"/>
        </w:rPr>
      </w:pPr>
      <w:r w:rsidRPr="001B3304">
        <w:rPr>
          <w:szCs w:val="24"/>
          <w:lang w:val="en-CA"/>
        </w:rPr>
        <w:t>(3) awareness of or consent to potential observation or recording;</w:t>
      </w:r>
    </w:p>
    <w:p w14:paraId="684D79A7" w14:textId="77777777" w:rsidR="00063B39" w:rsidRPr="001B3304" w:rsidRDefault="00063B39" w:rsidP="003E1822">
      <w:pPr>
        <w:pStyle w:val="NoSpacing"/>
        <w:ind w:left="720"/>
        <w:rPr>
          <w:szCs w:val="24"/>
          <w:lang w:val="en-CA"/>
        </w:rPr>
      </w:pPr>
      <w:r w:rsidRPr="001B3304">
        <w:rPr>
          <w:szCs w:val="24"/>
          <w:lang w:val="en-CA"/>
        </w:rPr>
        <w:lastRenderedPageBreak/>
        <w:t>(4) the manner in which the observation or recording was done;</w:t>
      </w:r>
    </w:p>
    <w:p w14:paraId="7F40F08D" w14:textId="77777777" w:rsidR="00063B39" w:rsidRPr="001B3304" w:rsidRDefault="00063B39" w:rsidP="003E1822">
      <w:pPr>
        <w:pStyle w:val="NoSpacing"/>
        <w:ind w:left="720"/>
        <w:rPr>
          <w:szCs w:val="24"/>
          <w:lang w:val="en-CA"/>
        </w:rPr>
      </w:pPr>
      <w:r w:rsidRPr="001B3304">
        <w:rPr>
          <w:szCs w:val="24"/>
          <w:lang w:val="en-CA"/>
        </w:rPr>
        <w:t>(5) the subject matter or content of the observation or recording;</w:t>
      </w:r>
    </w:p>
    <w:p w14:paraId="79595F35" w14:textId="77777777" w:rsidR="00063B39" w:rsidRPr="001B3304" w:rsidRDefault="00063B39" w:rsidP="003E1822">
      <w:pPr>
        <w:pStyle w:val="NoSpacing"/>
        <w:ind w:left="720"/>
        <w:rPr>
          <w:szCs w:val="24"/>
          <w:lang w:val="en-CA"/>
        </w:rPr>
      </w:pPr>
      <w:r w:rsidRPr="001B3304">
        <w:rPr>
          <w:szCs w:val="24"/>
          <w:lang w:val="en-CA"/>
        </w:rPr>
        <w:t>(6) any rules, regulations or policies that governed the observation or recording in question;</w:t>
      </w:r>
    </w:p>
    <w:p w14:paraId="74A67C8C" w14:textId="77777777" w:rsidR="00063B39" w:rsidRPr="001B3304" w:rsidRDefault="00063B39" w:rsidP="003E1822">
      <w:pPr>
        <w:pStyle w:val="NoSpacing"/>
        <w:ind w:left="720"/>
        <w:rPr>
          <w:szCs w:val="24"/>
          <w:lang w:val="en-CA"/>
        </w:rPr>
      </w:pPr>
      <w:r w:rsidRPr="001B3304">
        <w:rPr>
          <w:szCs w:val="24"/>
          <w:lang w:val="en-CA"/>
        </w:rPr>
        <w:t>(7) the relationship between the person who was observed or recorded and the person who did the observing or recording;</w:t>
      </w:r>
    </w:p>
    <w:p w14:paraId="3204F049" w14:textId="77777777" w:rsidR="00063B39" w:rsidRPr="001B3304" w:rsidRDefault="00063B39" w:rsidP="003E1822">
      <w:pPr>
        <w:pStyle w:val="NoSpacing"/>
        <w:ind w:left="720"/>
        <w:rPr>
          <w:szCs w:val="24"/>
          <w:lang w:val="en-CA"/>
        </w:rPr>
      </w:pPr>
      <w:r w:rsidRPr="001B3304">
        <w:rPr>
          <w:szCs w:val="24"/>
          <w:lang w:val="en-CA"/>
        </w:rPr>
        <w:t>(8) the purpose for which the observation or recording was done; and</w:t>
      </w:r>
    </w:p>
    <w:p w14:paraId="0282E9E1" w14:textId="77777777" w:rsidR="00063B39" w:rsidRPr="001B3304" w:rsidRDefault="00063B39" w:rsidP="003E1822">
      <w:pPr>
        <w:pStyle w:val="NoSpacing"/>
        <w:ind w:left="720"/>
        <w:rPr>
          <w:szCs w:val="24"/>
          <w:lang w:val="en-CA"/>
        </w:rPr>
      </w:pPr>
      <w:r w:rsidRPr="001B3304">
        <w:rPr>
          <w:szCs w:val="24"/>
          <w:lang w:val="en-CA"/>
        </w:rPr>
        <w:t>(9) the personal attributes of the person who was observed or recorded.</w:t>
      </w:r>
    </w:p>
    <w:p w14:paraId="0F6AF90A" w14:textId="0A9329CC" w:rsidR="00063B39" w:rsidRPr="001B3304" w:rsidRDefault="00063B39" w:rsidP="003E1822">
      <w:pPr>
        <w:pStyle w:val="NoSpacing"/>
        <w:rPr>
          <w:szCs w:val="24"/>
          <w:lang w:val="en-CA"/>
        </w:rPr>
      </w:pPr>
    </w:p>
    <w:p w14:paraId="4AB71AED" w14:textId="252380F1" w:rsidR="00063B39" w:rsidRPr="001B3304" w:rsidRDefault="00063B39" w:rsidP="003E1822">
      <w:pPr>
        <w:pStyle w:val="NoSpacing"/>
        <w:rPr>
          <w:szCs w:val="24"/>
          <w:lang w:val="en-CA"/>
        </w:rPr>
      </w:pPr>
      <w:r w:rsidRPr="001B3304">
        <w:rPr>
          <w:szCs w:val="24"/>
          <w:lang w:val="en-CA"/>
        </w:rPr>
        <w:t xml:space="preserve">For more on the offence of voyeurism, see </w:t>
      </w:r>
      <w:r w:rsidRPr="001B3304">
        <w:rPr>
          <w:i/>
          <w:iCs/>
          <w:szCs w:val="24"/>
          <w:lang w:val="en-CA"/>
        </w:rPr>
        <w:t xml:space="preserve">R v Jarvis, </w:t>
      </w:r>
      <w:r w:rsidRPr="001B3304">
        <w:rPr>
          <w:szCs w:val="24"/>
          <w:lang w:val="en-CA"/>
        </w:rPr>
        <w:t xml:space="preserve">2019 SCC 10; </w:t>
      </w:r>
      <w:r w:rsidRPr="001B3304">
        <w:rPr>
          <w:i/>
          <w:iCs/>
          <w:szCs w:val="24"/>
          <w:lang w:val="en-CA"/>
        </w:rPr>
        <w:t xml:space="preserve">R v </w:t>
      </w:r>
      <w:proofErr w:type="spellStart"/>
      <w:r w:rsidRPr="001B3304">
        <w:rPr>
          <w:i/>
          <w:iCs/>
          <w:szCs w:val="24"/>
          <w:lang w:val="en-CA"/>
        </w:rPr>
        <w:t>Trinchi</w:t>
      </w:r>
      <w:proofErr w:type="spellEnd"/>
      <w:r w:rsidRPr="001B3304">
        <w:rPr>
          <w:i/>
          <w:iCs/>
          <w:szCs w:val="24"/>
          <w:lang w:val="en-CA"/>
        </w:rPr>
        <w:t xml:space="preserve">, </w:t>
      </w:r>
      <w:hyperlink r:id="rId23" w:history="1">
        <w:r w:rsidRPr="001B3304">
          <w:rPr>
            <w:rStyle w:val="Hyperlink"/>
            <w:szCs w:val="24"/>
            <w:lang w:val="en-CA"/>
          </w:rPr>
          <w:t>2019 ONCA 356</w:t>
        </w:r>
      </w:hyperlink>
    </w:p>
    <w:p w14:paraId="13FDFB93" w14:textId="66088367" w:rsidR="008520CE" w:rsidRPr="001B3304" w:rsidRDefault="008520CE" w:rsidP="008520CE">
      <w:pPr>
        <w:pStyle w:val="Heading2"/>
        <w:spacing w:line="276" w:lineRule="auto"/>
      </w:pPr>
      <w:bookmarkStart w:id="35" w:name="_Toc134294075"/>
      <w:r w:rsidRPr="001B3304">
        <w:t>Distribute Intimate Image: s.162.1</w:t>
      </w:r>
      <w:bookmarkEnd w:id="35"/>
    </w:p>
    <w:p w14:paraId="6A01EA38" w14:textId="661601B4" w:rsidR="008520CE" w:rsidRPr="001B3304" w:rsidRDefault="008520CE" w:rsidP="008520CE">
      <w:pPr>
        <w:pStyle w:val="NoSpacing"/>
        <w:rPr>
          <w:szCs w:val="24"/>
        </w:rPr>
      </w:pPr>
      <w:r w:rsidRPr="001B3304">
        <w:rPr>
          <w:szCs w:val="24"/>
        </w:rPr>
        <w:t xml:space="preserve">Ss. 162.1(1) and (2), criminalize the non-consensual visual sharing of an intimate image is prohibited – regardless of whether the intimate image being shared has the “capability of reproduction”. Further, the natural or ordinary meaning of “visual recording” includes a FaceTime call. there is nothing in s. 162.1 to suggest that the intimate image being shared must be capable of reproduction. The ordinary meaning of “visual recording” does not require proof that the intimate image that was shared is capable of reproduction: </w:t>
      </w:r>
      <w:r w:rsidRPr="001B3304">
        <w:rPr>
          <w:i/>
          <w:iCs/>
          <w:szCs w:val="24"/>
        </w:rPr>
        <w:t xml:space="preserve">R v Walsh, </w:t>
      </w:r>
      <w:hyperlink r:id="rId24" w:history="1">
        <w:r w:rsidRPr="001B3304">
          <w:rPr>
            <w:rStyle w:val="Hyperlink"/>
            <w:szCs w:val="24"/>
          </w:rPr>
          <w:t>2021 ONCA 43</w:t>
        </w:r>
      </w:hyperlink>
      <w:r w:rsidRPr="001B3304">
        <w:rPr>
          <w:szCs w:val="24"/>
        </w:rPr>
        <w:t>, at paras 59-74</w:t>
      </w:r>
    </w:p>
    <w:p w14:paraId="66835B61" w14:textId="77777777" w:rsidR="008520CE" w:rsidRPr="001B3304" w:rsidRDefault="008520CE" w:rsidP="008520CE">
      <w:pPr>
        <w:rPr>
          <w:rFonts w:ascii="Arial" w:hAnsi="Arial" w:cs="Arial"/>
        </w:rPr>
      </w:pPr>
    </w:p>
    <w:p w14:paraId="6FA5E653" w14:textId="7527DBE9" w:rsidR="008520CE" w:rsidRPr="001B3304" w:rsidRDefault="008520CE" w:rsidP="008520CE">
      <w:pPr>
        <w:rPr>
          <w:rFonts w:ascii="Arial" w:hAnsi="Arial" w:cs="Arial"/>
          <w:lang w:val="en-US"/>
        </w:rPr>
      </w:pPr>
    </w:p>
    <w:p w14:paraId="0C97BE61" w14:textId="08D2A483" w:rsidR="00CF0714" w:rsidRPr="001B3304" w:rsidRDefault="00CF0714" w:rsidP="003E1822">
      <w:pPr>
        <w:pStyle w:val="Heading2"/>
        <w:spacing w:line="276" w:lineRule="auto"/>
      </w:pPr>
      <w:bookmarkStart w:id="36" w:name="_Toc134294076"/>
      <w:r w:rsidRPr="001B3304">
        <w:t>Child pornography: s.163</w:t>
      </w:r>
      <w:bookmarkEnd w:id="36"/>
    </w:p>
    <w:p w14:paraId="346F500D" w14:textId="77777777" w:rsidR="00CF0714" w:rsidRPr="001B3304" w:rsidRDefault="00CF0714" w:rsidP="003E1822">
      <w:pPr>
        <w:spacing w:line="276" w:lineRule="auto"/>
        <w:rPr>
          <w:rFonts w:ascii="Arial" w:hAnsi="Arial" w:cs="Arial"/>
        </w:rPr>
      </w:pPr>
    </w:p>
    <w:p w14:paraId="72015B06" w14:textId="57DEE379" w:rsidR="00693544" w:rsidRPr="001B3304" w:rsidRDefault="00693544" w:rsidP="004358F8">
      <w:pPr>
        <w:pStyle w:val="Heading3"/>
        <w:numPr>
          <w:ilvl w:val="0"/>
          <w:numId w:val="35"/>
        </w:numPr>
      </w:pPr>
      <w:bookmarkStart w:id="37" w:name="_Toc134294077"/>
      <w:r w:rsidRPr="001B3304">
        <w:t>Definition of Child Pornography</w:t>
      </w:r>
      <w:bookmarkEnd w:id="37"/>
    </w:p>
    <w:p w14:paraId="48FBD60F" w14:textId="77777777" w:rsidR="00693544" w:rsidRPr="001B3304" w:rsidRDefault="00693544" w:rsidP="003E1822">
      <w:pPr>
        <w:pStyle w:val="NoSpacing"/>
        <w:rPr>
          <w:szCs w:val="24"/>
        </w:rPr>
      </w:pPr>
    </w:p>
    <w:p w14:paraId="6671CF05" w14:textId="1BADA273" w:rsidR="00693544" w:rsidRPr="001B3304" w:rsidRDefault="00693544" w:rsidP="003E1822">
      <w:pPr>
        <w:pStyle w:val="NoSpacing"/>
        <w:rPr>
          <w:szCs w:val="24"/>
        </w:rPr>
      </w:pPr>
      <w:r w:rsidRPr="001B3304">
        <w:rPr>
          <w:szCs w:val="24"/>
        </w:rPr>
        <w:t xml:space="preserve">Electronic communications between individuals, including private text messages, fall within the definition of “any written material” in ss. 163.1(1), and are therefore possible of constituting child pornography: </w:t>
      </w:r>
      <w:r w:rsidRPr="001B3304">
        <w:rPr>
          <w:i/>
          <w:iCs/>
          <w:szCs w:val="24"/>
        </w:rPr>
        <w:t xml:space="preserve">R v </w:t>
      </w:r>
      <w:proofErr w:type="spellStart"/>
      <w:r w:rsidR="00D322DB" w:rsidRPr="001B3304">
        <w:rPr>
          <w:i/>
          <w:iCs/>
          <w:szCs w:val="24"/>
        </w:rPr>
        <w:t>McSween</w:t>
      </w:r>
      <w:proofErr w:type="spellEnd"/>
      <w:r w:rsidR="00D322DB" w:rsidRPr="001B3304">
        <w:rPr>
          <w:i/>
          <w:iCs/>
          <w:szCs w:val="24"/>
        </w:rPr>
        <w:t xml:space="preserve">, </w:t>
      </w:r>
      <w:hyperlink r:id="rId25" w:history="1">
        <w:r w:rsidR="00D322DB" w:rsidRPr="001B3304">
          <w:rPr>
            <w:rStyle w:val="Hyperlink"/>
            <w:szCs w:val="24"/>
          </w:rPr>
          <w:t>2020 ONCA 343</w:t>
        </w:r>
      </w:hyperlink>
      <w:r w:rsidR="00D322DB" w:rsidRPr="001B3304">
        <w:rPr>
          <w:szCs w:val="24"/>
        </w:rPr>
        <w:t>, at paras 44-55</w:t>
      </w:r>
    </w:p>
    <w:p w14:paraId="6F3DD6F6" w14:textId="68555568" w:rsidR="00D322DB" w:rsidRPr="001B3304" w:rsidRDefault="00D322DB" w:rsidP="003E1822">
      <w:pPr>
        <w:pStyle w:val="NoSpacing"/>
        <w:rPr>
          <w:szCs w:val="24"/>
        </w:rPr>
      </w:pPr>
    </w:p>
    <w:p w14:paraId="088A7230" w14:textId="40FD31A8" w:rsidR="00D322DB" w:rsidRPr="001B3304" w:rsidRDefault="00D322DB" w:rsidP="003E1822">
      <w:pPr>
        <w:pStyle w:val="NoSpacing"/>
        <w:rPr>
          <w:szCs w:val="24"/>
        </w:rPr>
      </w:pPr>
      <w:r w:rsidRPr="001B3304">
        <w:rPr>
          <w:szCs w:val="24"/>
        </w:rPr>
        <w:t xml:space="preserve">Section 163.1(1)(c) requires the court to ask whether the respondent’s text messages described sexual activity with a person under 18 for a sexual purpose. This requires the court to ask whether a reasonable viewer, looking at the material objectively, and in context, would see its dominate characteristic as the description </w:t>
      </w:r>
      <w:r w:rsidRPr="001B3304">
        <w:rPr>
          <w:szCs w:val="24"/>
        </w:rPr>
        <w:lastRenderedPageBreak/>
        <w:t xml:space="preserve">of sexual activity with a person under 18 for a sexual purpose: </w:t>
      </w:r>
      <w:proofErr w:type="spellStart"/>
      <w:r w:rsidRPr="001B3304">
        <w:rPr>
          <w:i/>
          <w:iCs/>
          <w:szCs w:val="24"/>
        </w:rPr>
        <w:t>McSween</w:t>
      </w:r>
      <w:proofErr w:type="spellEnd"/>
      <w:r w:rsidRPr="001B3304">
        <w:rPr>
          <w:i/>
          <w:iCs/>
          <w:szCs w:val="24"/>
        </w:rPr>
        <w:t xml:space="preserve"> </w:t>
      </w:r>
      <w:r w:rsidRPr="001B3304">
        <w:rPr>
          <w:szCs w:val="24"/>
        </w:rPr>
        <w:t>at para 74</w:t>
      </w:r>
    </w:p>
    <w:p w14:paraId="4C66DBE3" w14:textId="210E75D9" w:rsidR="005067E6" w:rsidRPr="001B3304" w:rsidRDefault="005067E6" w:rsidP="003E1822">
      <w:pPr>
        <w:pStyle w:val="NoSpacing"/>
        <w:rPr>
          <w:szCs w:val="24"/>
        </w:rPr>
      </w:pPr>
    </w:p>
    <w:p w14:paraId="243A42EE" w14:textId="103DDA6C" w:rsidR="005067E6" w:rsidRPr="001B3304" w:rsidRDefault="005067E6" w:rsidP="004358F8">
      <w:pPr>
        <w:pStyle w:val="Heading3"/>
        <w:numPr>
          <w:ilvl w:val="0"/>
          <w:numId w:val="35"/>
        </w:numPr>
      </w:pPr>
      <w:bookmarkStart w:id="38" w:name="_Toc134294078"/>
      <w:proofErr w:type="spellStart"/>
      <w:r w:rsidRPr="001B3304">
        <w:t>Mens</w:t>
      </w:r>
      <w:proofErr w:type="spellEnd"/>
      <w:r w:rsidRPr="001B3304">
        <w:t xml:space="preserve"> Rea</w:t>
      </w:r>
      <w:bookmarkEnd w:id="38"/>
    </w:p>
    <w:p w14:paraId="5414E0C9" w14:textId="77777777" w:rsidR="005067E6" w:rsidRPr="001B3304" w:rsidRDefault="005067E6" w:rsidP="003E1822">
      <w:pPr>
        <w:pStyle w:val="NoSpacing"/>
        <w:rPr>
          <w:szCs w:val="24"/>
        </w:rPr>
      </w:pPr>
    </w:p>
    <w:p w14:paraId="6016152C" w14:textId="5CF72F9B" w:rsidR="005067E6" w:rsidRPr="001B3304" w:rsidRDefault="005067E6" w:rsidP="003E1822">
      <w:pPr>
        <w:pStyle w:val="NoSpacing"/>
        <w:rPr>
          <w:szCs w:val="24"/>
        </w:rPr>
      </w:pPr>
      <w:r w:rsidRPr="001B3304">
        <w:rPr>
          <w:szCs w:val="24"/>
        </w:rPr>
        <w:t xml:space="preserve">The Crown must prove the intention to compose, assemble, or create the written materials (in this case by text messages), knowledge of the nature of the written materials, and the intention to send them to someone else. Motive is irrelevant: </w:t>
      </w:r>
      <w:r w:rsidRPr="001B3304">
        <w:rPr>
          <w:i/>
          <w:iCs/>
          <w:szCs w:val="24"/>
        </w:rPr>
        <w:t xml:space="preserve">R v </w:t>
      </w:r>
      <w:proofErr w:type="spellStart"/>
      <w:r w:rsidRPr="001B3304">
        <w:rPr>
          <w:i/>
          <w:iCs/>
          <w:szCs w:val="24"/>
        </w:rPr>
        <w:t>McSween</w:t>
      </w:r>
      <w:proofErr w:type="spellEnd"/>
      <w:r w:rsidRPr="001B3304">
        <w:rPr>
          <w:i/>
          <w:iCs/>
          <w:szCs w:val="24"/>
        </w:rPr>
        <w:t xml:space="preserve">, </w:t>
      </w:r>
      <w:hyperlink r:id="rId26" w:history="1">
        <w:r w:rsidRPr="001B3304">
          <w:rPr>
            <w:rStyle w:val="Hyperlink"/>
            <w:szCs w:val="24"/>
          </w:rPr>
          <w:t>2020 ONCA 343</w:t>
        </w:r>
      </w:hyperlink>
      <w:r w:rsidRPr="001B3304">
        <w:rPr>
          <w:szCs w:val="24"/>
        </w:rPr>
        <w:t>, at paras 84-93</w:t>
      </w:r>
    </w:p>
    <w:p w14:paraId="2CBA7796" w14:textId="77777777" w:rsidR="00D322DB" w:rsidRPr="001B3304" w:rsidRDefault="00D322DB" w:rsidP="003E1822">
      <w:pPr>
        <w:pStyle w:val="NoSpacing"/>
        <w:rPr>
          <w:szCs w:val="24"/>
        </w:rPr>
      </w:pPr>
    </w:p>
    <w:p w14:paraId="0CC0D152" w14:textId="2F09F785" w:rsidR="00D322DB" w:rsidRPr="001B3304" w:rsidRDefault="00D322DB" w:rsidP="004358F8">
      <w:pPr>
        <w:pStyle w:val="Heading3"/>
        <w:numPr>
          <w:ilvl w:val="0"/>
          <w:numId w:val="35"/>
        </w:numPr>
      </w:pPr>
      <w:bookmarkStart w:id="39" w:name="_Toc134294079"/>
      <w:r w:rsidRPr="001B3304">
        <w:t>Advocating or Counselling Sexual Activity with Children: S.163.1(b)</w:t>
      </w:r>
      <w:bookmarkEnd w:id="39"/>
    </w:p>
    <w:p w14:paraId="41CB3376" w14:textId="522C1071" w:rsidR="00D322DB" w:rsidRPr="001B3304" w:rsidRDefault="00D322DB" w:rsidP="003E1822">
      <w:pPr>
        <w:pStyle w:val="NoSpacing"/>
        <w:rPr>
          <w:szCs w:val="24"/>
        </w:rPr>
      </w:pPr>
    </w:p>
    <w:p w14:paraId="2F1B97AF" w14:textId="5DBDD48B" w:rsidR="00D322DB" w:rsidRPr="001B3304" w:rsidRDefault="00D322DB" w:rsidP="003E1822">
      <w:pPr>
        <w:pStyle w:val="NoSpacing"/>
        <w:rPr>
          <w:szCs w:val="24"/>
          <w:u w:val="single"/>
        </w:rPr>
      </w:pPr>
      <w:r w:rsidRPr="001B3304">
        <w:rPr>
          <w:szCs w:val="24"/>
        </w:rPr>
        <w:t xml:space="preserve">Section 163.1(1)(b) requires courts to determine if the material, viewed objectively, advocates or counsels sexual activity with a person under the age of 18. At stake is not whether the maker or possessor of the material intended to advocate or counsel the crime, but whether the material, viewed objectively, advocates or counsels the crime … The mere description of the criminal act is not caught. Rather, the prohibition is against material that, viewed objectively, sends the message that sex with children can and should be pursued: </w:t>
      </w:r>
      <w:r w:rsidRPr="001B3304">
        <w:rPr>
          <w:i/>
          <w:iCs/>
          <w:szCs w:val="24"/>
        </w:rPr>
        <w:t xml:space="preserve">R v </w:t>
      </w:r>
      <w:proofErr w:type="spellStart"/>
      <w:r w:rsidRPr="001B3304">
        <w:rPr>
          <w:i/>
          <w:iCs/>
          <w:szCs w:val="24"/>
        </w:rPr>
        <w:t>McSween</w:t>
      </w:r>
      <w:proofErr w:type="spellEnd"/>
      <w:r w:rsidRPr="001B3304">
        <w:rPr>
          <w:i/>
          <w:iCs/>
          <w:szCs w:val="24"/>
        </w:rPr>
        <w:t xml:space="preserve">, </w:t>
      </w:r>
      <w:hyperlink r:id="rId27" w:history="1">
        <w:r w:rsidRPr="001B3304">
          <w:rPr>
            <w:rStyle w:val="Hyperlink"/>
            <w:szCs w:val="24"/>
          </w:rPr>
          <w:t>2020 ONCA 343</w:t>
        </w:r>
      </w:hyperlink>
      <w:r w:rsidRPr="001B3304">
        <w:rPr>
          <w:szCs w:val="24"/>
        </w:rPr>
        <w:t>, at para 64</w:t>
      </w:r>
    </w:p>
    <w:p w14:paraId="5096CECB" w14:textId="2C6979A4" w:rsidR="00D322DB" w:rsidRPr="001B3304" w:rsidRDefault="00D322DB" w:rsidP="003E1822">
      <w:pPr>
        <w:spacing w:line="276" w:lineRule="auto"/>
        <w:rPr>
          <w:rFonts w:ascii="Arial" w:hAnsi="Arial" w:cs="Arial"/>
        </w:rPr>
      </w:pPr>
    </w:p>
    <w:p w14:paraId="57DB4E91" w14:textId="77777777" w:rsidR="00D322DB" w:rsidRPr="001B3304" w:rsidRDefault="00D322DB" w:rsidP="003E1822">
      <w:pPr>
        <w:pStyle w:val="NoSpacing"/>
        <w:rPr>
          <w:szCs w:val="24"/>
        </w:rPr>
      </w:pPr>
    </w:p>
    <w:p w14:paraId="2D5EE122" w14:textId="1D512DE1" w:rsidR="00CF0714" w:rsidRPr="001B3304" w:rsidRDefault="00CF0714" w:rsidP="004358F8">
      <w:pPr>
        <w:pStyle w:val="Heading3"/>
        <w:numPr>
          <w:ilvl w:val="0"/>
          <w:numId w:val="35"/>
        </w:numPr>
      </w:pPr>
      <w:bookmarkStart w:id="40" w:name="_Toc134294080"/>
      <w:r w:rsidRPr="001B3304">
        <w:t>Making Child Pornography Available: s.163.1(3)</w:t>
      </w:r>
      <w:bookmarkEnd w:id="40"/>
    </w:p>
    <w:p w14:paraId="2BEFAA19" w14:textId="77777777" w:rsidR="00CF0714" w:rsidRPr="001B3304" w:rsidRDefault="00CF0714" w:rsidP="003E1822">
      <w:pPr>
        <w:pStyle w:val="NoSpacing"/>
        <w:rPr>
          <w:szCs w:val="24"/>
        </w:rPr>
      </w:pPr>
      <w:r w:rsidRPr="001B3304">
        <w:rPr>
          <w:szCs w:val="24"/>
        </w:rPr>
        <w:t>In a prosecution under s. 163.1(3) for making available child pornography, the Crown must prove that the accused had knowledge that the pornographic material was being made available. In the context of a file sharing program, the </w:t>
      </w:r>
      <w:proofErr w:type="spellStart"/>
      <w:r w:rsidRPr="001B3304">
        <w:rPr>
          <w:i/>
          <w:iCs/>
          <w:szCs w:val="24"/>
        </w:rPr>
        <w:t>mens</w:t>
      </w:r>
      <w:proofErr w:type="spellEnd"/>
      <w:r w:rsidRPr="001B3304">
        <w:rPr>
          <w:i/>
          <w:iCs/>
          <w:szCs w:val="24"/>
        </w:rPr>
        <w:t xml:space="preserve"> rea</w:t>
      </w:r>
      <w:r w:rsidRPr="001B3304">
        <w:rPr>
          <w:szCs w:val="24"/>
        </w:rPr>
        <w:t xml:space="preserve"> element of making available child pornography requires proof of the intent to make computer files containing child pornography available to others using that program or actual knowledge, or </w:t>
      </w:r>
      <w:proofErr w:type="spellStart"/>
      <w:r w:rsidRPr="001B3304">
        <w:rPr>
          <w:szCs w:val="24"/>
        </w:rPr>
        <w:t>wilful</w:t>
      </w:r>
      <w:proofErr w:type="spellEnd"/>
      <w:r w:rsidRPr="001B3304">
        <w:rPr>
          <w:szCs w:val="24"/>
        </w:rPr>
        <w:t xml:space="preserve"> blindness to the fact, that the file sharing program makes files available to others. There is no additional requirement on the Crown to prove that the accused knowingly, by some positive act, facilitated the availability of the material: </w:t>
      </w:r>
      <w:r w:rsidRPr="001B3304">
        <w:rPr>
          <w:i/>
          <w:szCs w:val="24"/>
        </w:rPr>
        <w:t xml:space="preserve">R v </w:t>
      </w:r>
      <w:proofErr w:type="spellStart"/>
      <w:r w:rsidRPr="001B3304">
        <w:rPr>
          <w:i/>
          <w:szCs w:val="24"/>
        </w:rPr>
        <w:t>Capancioni</w:t>
      </w:r>
      <w:proofErr w:type="spellEnd"/>
      <w:r w:rsidRPr="001B3304">
        <w:rPr>
          <w:i/>
          <w:szCs w:val="24"/>
        </w:rPr>
        <w:t xml:space="preserve">, </w:t>
      </w:r>
      <w:hyperlink r:id="rId28" w:history="1">
        <w:r w:rsidRPr="001B3304">
          <w:rPr>
            <w:rStyle w:val="Hyperlink"/>
            <w:szCs w:val="24"/>
          </w:rPr>
          <w:t>2018 ONCA 173</w:t>
        </w:r>
      </w:hyperlink>
      <w:r w:rsidRPr="001B3304">
        <w:rPr>
          <w:szCs w:val="24"/>
        </w:rPr>
        <w:t xml:space="preserve"> at para 44</w:t>
      </w:r>
    </w:p>
    <w:p w14:paraId="0365A2DA" w14:textId="6D19D473" w:rsidR="006E0FE5" w:rsidRPr="001B3304" w:rsidRDefault="006E0FE5" w:rsidP="003E1822">
      <w:pPr>
        <w:widowControl w:val="0"/>
        <w:autoSpaceDE w:val="0"/>
        <w:autoSpaceDN w:val="0"/>
        <w:adjustRightInd w:val="0"/>
        <w:spacing w:line="276" w:lineRule="auto"/>
        <w:rPr>
          <w:rFonts w:ascii="Arial" w:hAnsi="Arial" w:cs="Arial"/>
        </w:rPr>
      </w:pPr>
    </w:p>
    <w:p w14:paraId="12F82F93" w14:textId="77777777" w:rsidR="00777315" w:rsidRPr="001B3304" w:rsidRDefault="00777315" w:rsidP="003E1822">
      <w:pPr>
        <w:widowControl w:val="0"/>
        <w:autoSpaceDE w:val="0"/>
        <w:autoSpaceDN w:val="0"/>
        <w:adjustRightInd w:val="0"/>
        <w:spacing w:line="276" w:lineRule="auto"/>
        <w:rPr>
          <w:rFonts w:ascii="Arial" w:hAnsi="Arial" w:cs="Arial"/>
        </w:rPr>
      </w:pPr>
    </w:p>
    <w:p w14:paraId="79C6F2F4" w14:textId="6089C387" w:rsidR="002448E7" w:rsidRPr="001B3304" w:rsidRDefault="002448E7" w:rsidP="004358F8">
      <w:pPr>
        <w:pStyle w:val="Heading3"/>
        <w:numPr>
          <w:ilvl w:val="0"/>
          <w:numId w:val="35"/>
        </w:numPr>
      </w:pPr>
      <w:bookmarkStart w:id="41" w:name="_Toc134294081"/>
      <w:r w:rsidRPr="001B3304">
        <w:lastRenderedPageBreak/>
        <w:t xml:space="preserve">Legitimate Purpose </w:t>
      </w:r>
      <w:proofErr w:type="spellStart"/>
      <w:r w:rsidRPr="001B3304">
        <w:t>Defence</w:t>
      </w:r>
      <w:proofErr w:type="spellEnd"/>
      <w:r w:rsidRPr="001B3304">
        <w:t>: s.163.1(6)(a)</w:t>
      </w:r>
      <w:bookmarkEnd w:id="41"/>
    </w:p>
    <w:p w14:paraId="60636796" w14:textId="77777777" w:rsidR="002448E7" w:rsidRPr="001B3304" w:rsidRDefault="002448E7" w:rsidP="003E1822">
      <w:pPr>
        <w:spacing w:line="276" w:lineRule="auto"/>
        <w:rPr>
          <w:rFonts w:ascii="Arial" w:hAnsi="Arial" w:cs="Arial"/>
        </w:rPr>
      </w:pPr>
    </w:p>
    <w:p w14:paraId="1C008401" w14:textId="3ECD735B" w:rsidR="002448E7" w:rsidRPr="001B3304" w:rsidRDefault="002448E7" w:rsidP="003E1822">
      <w:pPr>
        <w:pStyle w:val="NoSpacing"/>
        <w:rPr>
          <w:szCs w:val="24"/>
        </w:rPr>
      </w:pPr>
      <w:r w:rsidRPr="001B3304">
        <w:rPr>
          <w:szCs w:val="24"/>
        </w:rPr>
        <w:t>Section 163.1(6) of the </w:t>
      </w:r>
      <w:r w:rsidRPr="001B3304">
        <w:rPr>
          <w:i/>
          <w:iCs/>
          <w:szCs w:val="24"/>
        </w:rPr>
        <w:t>Criminal Code</w:t>
      </w:r>
      <w:r w:rsidRPr="001B3304">
        <w:rPr>
          <w:szCs w:val="24"/>
        </w:rPr>
        <w:t xml:space="preserve"> provides a </w:t>
      </w:r>
      <w:proofErr w:type="spellStart"/>
      <w:r w:rsidRPr="001B3304">
        <w:rPr>
          <w:szCs w:val="24"/>
        </w:rPr>
        <w:t>defence</w:t>
      </w:r>
      <w:proofErr w:type="spellEnd"/>
      <w:r w:rsidRPr="001B3304">
        <w:rPr>
          <w:szCs w:val="24"/>
        </w:rPr>
        <w:t xml:space="preserve"> to the offences of accessing and possessing child pornography where the accused:</w:t>
      </w:r>
    </w:p>
    <w:p w14:paraId="3516D2AB" w14:textId="62C0DB2F" w:rsidR="002448E7" w:rsidRPr="001B3304" w:rsidRDefault="002448E7" w:rsidP="003E1822">
      <w:pPr>
        <w:pStyle w:val="NoSpacing"/>
        <w:numPr>
          <w:ilvl w:val="0"/>
          <w:numId w:val="27"/>
        </w:numPr>
        <w:ind w:left="1260"/>
        <w:rPr>
          <w:szCs w:val="24"/>
        </w:rPr>
      </w:pPr>
      <w:r w:rsidRPr="001B3304">
        <w:rPr>
          <w:szCs w:val="24"/>
        </w:rPr>
        <w:t>has a legitimate purpose related to the administration of justice or to science, medicine, education or art; and</w:t>
      </w:r>
    </w:p>
    <w:p w14:paraId="479CC502" w14:textId="5B22123C" w:rsidR="002448E7" w:rsidRPr="001B3304" w:rsidRDefault="002448E7" w:rsidP="003E1822">
      <w:pPr>
        <w:pStyle w:val="NoSpacing"/>
        <w:numPr>
          <w:ilvl w:val="0"/>
          <w:numId w:val="27"/>
        </w:numPr>
        <w:ind w:left="1260"/>
        <w:rPr>
          <w:szCs w:val="24"/>
        </w:rPr>
      </w:pPr>
      <w:r w:rsidRPr="001B3304">
        <w:rPr>
          <w:szCs w:val="24"/>
        </w:rPr>
        <w:t>does not pose an undue risk of harm to persons under the age of eighteen years.</w:t>
      </w:r>
    </w:p>
    <w:p w14:paraId="45226B87" w14:textId="77777777" w:rsidR="00CE2A36" w:rsidRPr="001B3304" w:rsidRDefault="00CE2A36" w:rsidP="003E1822">
      <w:pPr>
        <w:pStyle w:val="NoSpacing"/>
        <w:rPr>
          <w:szCs w:val="24"/>
        </w:rPr>
      </w:pPr>
    </w:p>
    <w:p w14:paraId="013EA74F" w14:textId="7C0ADFAD" w:rsidR="003A3542" w:rsidRPr="001B3304" w:rsidRDefault="002448E7" w:rsidP="003E1822">
      <w:pPr>
        <w:pStyle w:val="NoSpacing"/>
        <w:rPr>
          <w:szCs w:val="24"/>
        </w:rPr>
      </w:pPr>
      <w:r w:rsidRPr="001B3304">
        <w:rPr>
          <w:szCs w:val="24"/>
        </w:rPr>
        <w:t xml:space="preserve">On the “legitimate purpose” prong of the </w:t>
      </w:r>
      <w:proofErr w:type="spellStart"/>
      <w:r w:rsidRPr="001B3304">
        <w:rPr>
          <w:szCs w:val="24"/>
        </w:rPr>
        <w:t>defence</w:t>
      </w:r>
      <w:proofErr w:type="spellEnd"/>
      <w:r w:rsidRPr="001B3304">
        <w:rPr>
          <w:szCs w:val="24"/>
        </w:rPr>
        <w:t xml:space="preserve">,  the court </w:t>
      </w:r>
      <w:r w:rsidR="00CE2A36" w:rsidRPr="001B3304">
        <w:rPr>
          <w:szCs w:val="24"/>
        </w:rPr>
        <w:t>must</w:t>
      </w:r>
      <w:r w:rsidRPr="001B3304">
        <w:rPr>
          <w:szCs w:val="24"/>
        </w:rPr>
        <w:t xml:space="preserve"> evaluate: (1) whether it is left with a reasonable doubt that the accused, from a subjective standpoint, had a genuine, good faith reason for accessing and/or possessing child pornography for one of the listed grounds; and (2) whether, based on all of the circumstances, a reasonable person would conclude that (</w:t>
      </w:r>
      <w:proofErr w:type="spellStart"/>
      <w:r w:rsidRPr="001B3304">
        <w:rPr>
          <w:szCs w:val="24"/>
        </w:rPr>
        <w:t>i</w:t>
      </w:r>
      <w:proofErr w:type="spellEnd"/>
      <w:r w:rsidRPr="001B3304">
        <w:rPr>
          <w:szCs w:val="24"/>
        </w:rPr>
        <w:t>) there is an objective connection between the accused’s actions and his or her stated purpose, and (ii) there is an objective relationship between his or her stated purpose and one of the protected grounds</w:t>
      </w:r>
      <w:r w:rsidR="00CE2A36" w:rsidRPr="001B3304">
        <w:rPr>
          <w:szCs w:val="24"/>
        </w:rPr>
        <w:t xml:space="preserve">. </w:t>
      </w:r>
      <w:r w:rsidR="003A3542" w:rsidRPr="001B3304">
        <w:rPr>
          <w:szCs w:val="24"/>
        </w:rPr>
        <w:t xml:space="preserve"> Accessing or possessing child pornography need not be “necessary” to the accused’s legitimate purpose related to the administration of justice, science, medicine or art, in order for the accused to come within the s. 163.1(6) </w:t>
      </w:r>
      <w:proofErr w:type="spellStart"/>
      <w:r w:rsidR="003A3542" w:rsidRPr="001B3304">
        <w:rPr>
          <w:szCs w:val="24"/>
        </w:rPr>
        <w:t>defence</w:t>
      </w:r>
      <w:proofErr w:type="spellEnd"/>
      <w:r w:rsidR="003A3542" w:rsidRPr="001B3304">
        <w:rPr>
          <w:szCs w:val="24"/>
        </w:rPr>
        <w:t>. </w:t>
      </w:r>
    </w:p>
    <w:p w14:paraId="637A3B02" w14:textId="77777777" w:rsidR="003A3542" w:rsidRPr="001B3304" w:rsidRDefault="003A3542" w:rsidP="003E1822">
      <w:pPr>
        <w:pStyle w:val="NoSpacing"/>
        <w:rPr>
          <w:szCs w:val="24"/>
        </w:rPr>
      </w:pPr>
    </w:p>
    <w:p w14:paraId="32688C8F" w14:textId="77777777" w:rsidR="00CE2A36" w:rsidRPr="001B3304" w:rsidRDefault="00CE2A36" w:rsidP="003E1822">
      <w:pPr>
        <w:pStyle w:val="NoSpacing"/>
        <w:rPr>
          <w:szCs w:val="24"/>
        </w:rPr>
      </w:pPr>
    </w:p>
    <w:p w14:paraId="48E86D43" w14:textId="77777777" w:rsidR="00D55178" w:rsidRPr="001B3304" w:rsidRDefault="00CE2A36" w:rsidP="003E1822">
      <w:pPr>
        <w:pStyle w:val="NoSpacing"/>
        <w:rPr>
          <w:szCs w:val="24"/>
        </w:rPr>
      </w:pPr>
      <w:r w:rsidRPr="001B3304">
        <w:rPr>
          <w:szCs w:val="24"/>
        </w:rPr>
        <w:t>On the</w:t>
      </w:r>
      <w:r w:rsidR="002448E7" w:rsidRPr="001B3304">
        <w:rPr>
          <w:szCs w:val="24"/>
        </w:rPr>
        <w:t xml:space="preserve"> “undue risk of harm” prong of the </w:t>
      </w:r>
      <w:proofErr w:type="spellStart"/>
      <w:r w:rsidR="002448E7" w:rsidRPr="001B3304">
        <w:rPr>
          <w:szCs w:val="24"/>
        </w:rPr>
        <w:t>defence</w:t>
      </w:r>
      <w:proofErr w:type="spellEnd"/>
      <w:r w:rsidR="002448E7" w:rsidRPr="001B3304">
        <w:rPr>
          <w:szCs w:val="24"/>
        </w:rPr>
        <w:t xml:space="preserve">, the court must consider whether the accused’s actions pose an “undue risk of harm to persons under the age of eighteen years.” If the court is satisfied beyond a reasonable doubt that the accused’s actions pose a significant risk of objectively ascertainable harm to children, the accused’s s. 163.1(6) </w:t>
      </w:r>
      <w:proofErr w:type="spellStart"/>
      <w:r w:rsidR="002448E7" w:rsidRPr="001B3304">
        <w:rPr>
          <w:szCs w:val="24"/>
        </w:rPr>
        <w:t>defence</w:t>
      </w:r>
      <w:proofErr w:type="spellEnd"/>
      <w:r w:rsidR="002448E7" w:rsidRPr="001B3304">
        <w:rPr>
          <w:szCs w:val="24"/>
        </w:rPr>
        <w:t xml:space="preserve"> will fail</w:t>
      </w:r>
      <w:r w:rsidR="00D55178" w:rsidRPr="001B3304">
        <w:rPr>
          <w:szCs w:val="24"/>
        </w:rPr>
        <w:t>.</w:t>
      </w:r>
    </w:p>
    <w:p w14:paraId="0016B7B3" w14:textId="77777777" w:rsidR="00D55178" w:rsidRPr="001B3304" w:rsidRDefault="00D55178" w:rsidP="003E1822">
      <w:pPr>
        <w:pStyle w:val="NoSpacing"/>
        <w:rPr>
          <w:szCs w:val="24"/>
        </w:rPr>
      </w:pPr>
    </w:p>
    <w:p w14:paraId="1876F3E1" w14:textId="353C7927" w:rsidR="002448E7" w:rsidRPr="001B3304" w:rsidRDefault="00D55178" w:rsidP="003E1822">
      <w:pPr>
        <w:pStyle w:val="NoSpacing"/>
        <w:rPr>
          <w:szCs w:val="24"/>
        </w:rPr>
      </w:pPr>
      <w:r w:rsidRPr="001B3304">
        <w:rPr>
          <w:szCs w:val="24"/>
        </w:rPr>
        <w:t>Where an accused accesses and/or possesses child pornography for a legitimate purpose enumerated in s. 163.1(6)(a), but with a corresponding personal interest in the material, this may increase the risk of harm to children. In particular, accessing and/or possessing child pornography in this context risks reinforcing cognitive distortions in the viewer and possibly inciting future offending; contributing to the market for child pornography and the abuse of children in producing such pornography; and re-victimizing the subjects of the pornography by subjecting them to the sexualized gaze of the viewer</w:t>
      </w:r>
      <w:r w:rsidR="00561663" w:rsidRPr="001B3304">
        <w:rPr>
          <w:szCs w:val="24"/>
        </w:rPr>
        <w:t xml:space="preserve">: </w:t>
      </w:r>
      <w:r w:rsidR="00CE2A36" w:rsidRPr="001B3304">
        <w:rPr>
          <w:i/>
          <w:szCs w:val="24"/>
        </w:rPr>
        <w:t xml:space="preserve">R v </w:t>
      </w:r>
      <w:r w:rsidR="00770EAC" w:rsidRPr="001B3304">
        <w:rPr>
          <w:i/>
          <w:szCs w:val="24"/>
        </w:rPr>
        <w:t xml:space="preserve">Kiefer, </w:t>
      </w:r>
      <w:hyperlink r:id="rId29" w:history="1">
        <w:r w:rsidR="00770EAC" w:rsidRPr="001B3304">
          <w:rPr>
            <w:rStyle w:val="Hyperlink"/>
            <w:szCs w:val="24"/>
          </w:rPr>
          <w:t>2018 ONCA 925</w:t>
        </w:r>
      </w:hyperlink>
      <w:r w:rsidR="00770EAC" w:rsidRPr="001B3304">
        <w:rPr>
          <w:szCs w:val="24"/>
        </w:rPr>
        <w:t>, at paras 12-13</w:t>
      </w:r>
      <w:r w:rsidR="003A3542" w:rsidRPr="001B3304">
        <w:rPr>
          <w:szCs w:val="24"/>
        </w:rPr>
        <w:t>, 44</w:t>
      </w:r>
      <w:r w:rsidR="00561663" w:rsidRPr="001B3304">
        <w:rPr>
          <w:szCs w:val="24"/>
        </w:rPr>
        <w:t>, 51</w:t>
      </w:r>
    </w:p>
    <w:p w14:paraId="201EEA50" w14:textId="77777777" w:rsidR="002448E7" w:rsidRPr="001B3304" w:rsidRDefault="002448E7" w:rsidP="003E1822">
      <w:pPr>
        <w:spacing w:line="276" w:lineRule="auto"/>
        <w:rPr>
          <w:rFonts w:ascii="Arial" w:hAnsi="Arial" w:cs="Arial"/>
        </w:rPr>
      </w:pPr>
    </w:p>
    <w:p w14:paraId="01D8A105" w14:textId="1F6107DA" w:rsidR="00BE0BEE" w:rsidRPr="001B3304" w:rsidRDefault="00BE0BEE" w:rsidP="003E1822">
      <w:pPr>
        <w:pStyle w:val="NoSpacing"/>
        <w:rPr>
          <w:szCs w:val="24"/>
        </w:rPr>
      </w:pPr>
      <w:r w:rsidRPr="001B3304">
        <w:rPr>
          <w:szCs w:val="24"/>
        </w:rPr>
        <w:lastRenderedPageBreak/>
        <w:t xml:space="preserve">Section 163.1(6) does not provide a </w:t>
      </w:r>
      <w:proofErr w:type="spellStart"/>
      <w:r w:rsidRPr="001B3304">
        <w:rPr>
          <w:szCs w:val="24"/>
        </w:rPr>
        <w:t>defence</w:t>
      </w:r>
      <w:proofErr w:type="spellEnd"/>
      <w:r w:rsidRPr="001B3304">
        <w:rPr>
          <w:szCs w:val="24"/>
        </w:rPr>
        <w:t xml:space="preserve"> where an accused accesses and possesses child pornography for both a legitimate and an illegitimate purpose. The only purpose must be a legitimate one: </w:t>
      </w:r>
      <w:r w:rsidRPr="001B3304">
        <w:rPr>
          <w:i/>
          <w:szCs w:val="24"/>
        </w:rPr>
        <w:t xml:space="preserve">Kiefer </w:t>
      </w:r>
      <w:r w:rsidR="00A62F91" w:rsidRPr="001B3304">
        <w:rPr>
          <w:szCs w:val="24"/>
        </w:rPr>
        <w:t>at paras 32-39</w:t>
      </w:r>
    </w:p>
    <w:p w14:paraId="687709AA" w14:textId="77777777" w:rsidR="00D322DB" w:rsidRPr="001B3304" w:rsidRDefault="00D322DB" w:rsidP="003E1822">
      <w:pPr>
        <w:pStyle w:val="NoSpacing"/>
        <w:rPr>
          <w:szCs w:val="24"/>
        </w:rPr>
      </w:pPr>
    </w:p>
    <w:p w14:paraId="05DA3647" w14:textId="113DC5CD" w:rsidR="00D322DB" w:rsidRPr="001B3304" w:rsidRDefault="00D322DB" w:rsidP="003E1822">
      <w:pPr>
        <w:pStyle w:val="NoSpacing"/>
        <w:rPr>
          <w:szCs w:val="24"/>
        </w:rPr>
      </w:pPr>
      <w:r w:rsidRPr="001B3304">
        <w:rPr>
          <w:szCs w:val="24"/>
        </w:rPr>
        <w:t xml:space="preserve">The concept of “undue risk” has no role to play in determining whether written material amounts to child pornography. Undue risk of harm to persons under the age of eighteen years” in paragraph (b) may only be considered if it is tied to one of the four legitimate purposes identified in paragraph (a). In other words, as the provision only comes into play after the court has held that the accused had a ‘legitimate purpose related to the administration of justice or to science, medicine, education or art: </w:t>
      </w:r>
      <w:r w:rsidRPr="001B3304">
        <w:rPr>
          <w:i/>
          <w:iCs/>
          <w:szCs w:val="24"/>
        </w:rPr>
        <w:t xml:space="preserve">R v </w:t>
      </w:r>
      <w:proofErr w:type="spellStart"/>
      <w:r w:rsidRPr="001B3304">
        <w:rPr>
          <w:i/>
          <w:iCs/>
          <w:szCs w:val="24"/>
        </w:rPr>
        <w:t>McSween</w:t>
      </w:r>
      <w:proofErr w:type="spellEnd"/>
      <w:r w:rsidRPr="001B3304">
        <w:rPr>
          <w:i/>
          <w:iCs/>
          <w:szCs w:val="24"/>
        </w:rPr>
        <w:t xml:space="preserve">, </w:t>
      </w:r>
      <w:hyperlink r:id="rId30" w:history="1">
        <w:r w:rsidRPr="001B3304">
          <w:rPr>
            <w:rStyle w:val="Hyperlink"/>
            <w:szCs w:val="24"/>
          </w:rPr>
          <w:t>2020 ONCA 343</w:t>
        </w:r>
      </w:hyperlink>
      <w:r w:rsidRPr="001B3304">
        <w:rPr>
          <w:szCs w:val="24"/>
        </w:rPr>
        <w:t>, at para 61</w:t>
      </w:r>
    </w:p>
    <w:p w14:paraId="7D0D64A0" w14:textId="77777777" w:rsidR="00D322DB" w:rsidRPr="001B3304" w:rsidRDefault="00D322DB" w:rsidP="003E1822">
      <w:pPr>
        <w:pStyle w:val="NoSpacing"/>
        <w:rPr>
          <w:szCs w:val="24"/>
        </w:rPr>
      </w:pPr>
    </w:p>
    <w:p w14:paraId="585AC87F" w14:textId="4CC85FC2" w:rsidR="003A03D0" w:rsidRPr="001B3304" w:rsidRDefault="003A03D0" w:rsidP="003E1822">
      <w:pPr>
        <w:pStyle w:val="NoSpacing"/>
        <w:rPr>
          <w:szCs w:val="24"/>
        </w:rPr>
      </w:pPr>
    </w:p>
    <w:p w14:paraId="01CCCB31" w14:textId="13A7F4F4" w:rsidR="00427E0E" w:rsidRPr="001B3304" w:rsidRDefault="00427E0E" w:rsidP="004358F8">
      <w:pPr>
        <w:pStyle w:val="Heading3"/>
        <w:numPr>
          <w:ilvl w:val="0"/>
          <w:numId w:val="35"/>
        </w:numPr>
      </w:pPr>
      <w:bookmarkStart w:id="42" w:name="_Toc134294082"/>
      <w:r w:rsidRPr="001B3304">
        <w:t>The Private use Exception</w:t>
      </w:r>
      <w:bookmarkEnd w:id="42"/>
    </w:p>
    <w:p w14:paraId="49F70BB2" w14:textId="5D87D6BA" w:rsidR="00427E0E" w:rsidRPr="001B3304" w:rsidRDefault="00427E0E" w:rsidP="00427E0E">
      <w:pPr>
        <w:pStyle w:val="NoSpacing"/>
        <w:rPr>
          <w:szCs w:val="24"/>
        </w:rPr>
      </w:pPr>
    </w:p>
    <w:p w14:paraId="3F4578C2" w14:textId="4944DD4C" w:rsidR="00427E0E" w:rsidRPr="001B3304" w:rsidRDefault="00427E0E" w:rsidP="00427E0E">
      <w:pPr>
        <w:pStyle w:val="NoSpacing"/>
        <w:rPr>
          <w:iCs/>
          <w:szCs w:val="24"/>
        </w:rPr>
      </w:pPr>
      <w:r w:rsidRPr="001B3304">
        <w:rPr>
          <w:szCs w:val="24"/>
        </w:rPr>
        <w:t xml:space="preserve">The private use exception presupposes physical involvement in sex or the recording of sex. It does not expand to encompass sexting: </w:t>
      </w:r>
      <w:r w:rsidRPr="001B3304">
        <w:rPr>
          <w:i/>
          <w:iCs/>
          <w:szCs w:val="24"/>
        </w:rPr>
        <w:t xml:space="preserve">R v </w:t>
      </w:r>
      <w:r w:rsidRPr="001B3304">
        <w:rPr>
          <w:i/>
          <w:szCs w:val="24"/>
        </w:rPr>
        <w:t xml:space="preserve">MM, </w:t>
      </w:r>
      <w:hyperlink r:id="rId31" w:history="1">
        <w:r w:rsidRPr="001B3304">
          <w:rPr>
            <w:rStyle w:val="Hyperlink"/>
            <w:iCs/>
            <w:szCs w:val="24"/>
          </w:rPr>
          <w:t>2022 ONCA 441</w:t>
        </w:r>
      </w:hyperlink>
    </w:p>
    <w:p w14:paraId="4FB71AFF" w14:textId="2D6D021E" w:rsidR="003A03D0" w:rsidRPr="001B3304" w:rsidRDefault="003A03D0" w:rsidP="003E1822">
      <w:pPr>
        <w:pStyle w:val="Heading2"/>
        <w:spacing w:line="276" w:lineRule="auto"/>
      </w:pPr>
      <w:bookmarkStart w:id="43" w:name="_Toc134294083"/>
      <w:r w:rsidRPr="001B3304">
        <w:t>Child Luring</w:t>
      </w:r>
      <w:bookmarkEnd w:id="43"/>
    </w:p>
    <w:p w14:paraId="191A9837" w14:textId="77777777" w:rsidR="00457CBD" w:rsidRPr="001B3304" w:rsidRDefault="00457CBD" w:rsidP="003E1822">
      <w:pPr>
        <w:pStyle w:val="NoSpacing"/>
        <w:rPr>
          <w:szCs w:val="24"/>
          <w:shd w:val="clear" w:color="auto" w:fill="FFFFFF"/>
          <w:lang w:val="en-CA"/>
        </w:rPr>
      </w:pPr>
    </w:p>
    <w:p w14:paraId="6A694092" w14:textId="63684A34" w:rsidR="003A03D0" w:rsidRPr="001B3304" w:rsidRDefault="003A03D0" w:rsidP="003E1822">
      <w:pPr>
        <w:pStyle w:val="NoSpacing"/>
        <w:rPr>
          <w:szCs w:val="24"/>
          <w:lang w:val="en-CA"/>
        </w:rPr>
      </w:pPr>
      <w:r w:rsidRPr="001B3304">
        <w:rPr>
          <w:szCs w:val="24"/>
          <w:shd w:val="clear" w:color="auto" w:fill="FFFFFF"/>
          <w:lang w:val="en-CA"/>
        </w:rPr>
        <w:t>Section 172.1(3), which provides that if the person with whom the accused was communicating (“other person”) was represented to the accused as being underage, then the accused is presumed to have believed that representation absent evidence to the contrary, is unconstitutional as it violates the right to be presumed innocent under s. 11 (</w:t>
      </w:r>
      <w:r w:rsidRPr="001B3304">
        <w:rPr>
          <w:i/>
          <w:iCs/>
          <w:szCs w:val="24"/>
          <w:lang w:val="en-CA"/>
        </w:rPr>
        <w:t>d</w:t>
      </w:r>
      <w:r w:rsidRPr="001B3304">
        <w:rPr>
          <w:szCs w:val="24"/>
          <w:shd w:val="clear" w:color="auto" w:fill="FFFFFF"/>
          <w:lang w:val="en-CA"/>
        </w:rPr>
        <w:t>) of the </w:t>
      </w:r>
      <w:r w:rsidRPr="001B3304">
        <w:rPr>
          <w:i/>
          <w:iCs/>
          <w:szCs w:val="24"/>
          <w:lang w:val="en-CA"/>
        </w:rPr>
        <w:t xml:space="preserve">Charter: R v Morrison, </w:t>
      </w:r>
      <w:r w:rsidRPr="001B3304">
        <w:rPr>
          <w:szCs w:val="24"/>
          <w:lang w:val="en-CA"/>
        </w:rPr>
        <w:t>2019 SCC 15</w:t>
      </w:r>
    </w:p>
    <w:p w14:paraId="32F392CB" w14:textId="455350C9" w:rsidR="000C7473" w:rsidRPr="001B3304" w:rsidRDefault="000C7473" w:rsidP="003E1822">
      <w:pPr>
        <w:pStyle w:val="NoSpacing"/>
        <w:rPr>
          <w:szCs w:val="24"/>
          <w:lang w:val="en-CA"/>
        </w:rPr>
      </w:pPr>
    </w:p>
    <w:p w14:paraId="284EFD19" w14:textId="60052E27" w:rsidR="000C7473" w:rsidRPr="001B3304" w:rsidRDefault="000C7473" w:rsidP="003E1822">
      <w:pPr>
        <w:pStyle w:val="NoSpacing"/>
        <w:rPr>
          <w:szCs w:val="24"/>
          <w:lang w:val="en-CA"/>
        </w:rPr>
      </w:pPr>
      <w:r w:rsidRPr="001B3304">
        <w:rPr>
          <w:szCs w:val="24"/>
          <w:lang w:val="en-CA"/>
        </w:rPr>
        <w:t xml:space="preserve">The Ontario Court of Appeal has reversed convictions where the trial judge relied on the unconstitutional conviction to establish, or help establish, an element of the offence: </w:t>
      </w:r>
      <w:r w:rsidRPr="001B3304">
        <w:rPr>
          <w:i/>
          <w:iCs/>
          <w:szCs w:val="24"/>
          <w:lang w:val="en-CA"/>
        </w:rPr>
        <w:t xml:space="preserve">R v Drury, </w:t>
      </w:r>
      <w:r w:rsidRPr="001B3304">
        <w:rPr>
          <w:szCs w:val="24"/>
          <w:lang w:val="en-CA"/>
        </w:rPr>
        <w:t xml:space="preserve">2020 ONCA 502, and </w:t>
      </w:r>
      <w:r w:rsidRPr="001B3304">
        <w:rPr>
          <w:i/>
          <w:iCs/>
          <w:szCs w:val="24"/>
          <w:lang w:val="en-CA"/>
        </w:rPr>
        <w:t xml:space="preserve">R v Allen, </w:t>
      </w:r>
      <w:hyperlink r:id="rId32" w:history="1">
        <w:r w:rsidRPr="001B3304">
          <w:rPr>
            <w:rStyle w:val="Hyperlink"/>
            <w:szCs w:val="24"/>
            <w:lang w:val="en-CA"/>
          </w:rPr>
          <w:t>2020 ONCA 664</w:t>
        </w:r>
      </w:hyperlink>
    </w:p>
    <w:p w14:paraId="41A7F05B" w14:textId="11EA4306" w:rsidR="003A03D0" w:rsidRPr="001B3304" w:rsidRDefault="003A03D0" w:rsidP="003E1822">
      <w:pPr>
        <w:spacing w:line="276" w:lineRule="auto"/>
        <w:rPr>
          <w:rFonts w:ascii="Arial" w:hAnsi="Arial" w:cs="Arial"/>
        </w:rPr>
      </w:pPr>
    </w:p>
    <w:p w14:paraId="206A049E" w14:textId="488424D2" w:rsidR="005067E6" w:rsidRPr="001B3304" w:rsidRDefault="005067E6" w:rsidP="003E1822">
      <w:pPr>
        <w:pStyle w:val="NoSpacing"/>
        <w:rPr>
          <w:szCs w:val="24"/>
        </w:rPr>
      </w:pPr>
      <w:r w:rsidRPr="001B3304">
        <w:rPr>
          <w:szCs w:val="24"/>
        </w:rPr>
        <w:t>The Crown must establish the following elements beyond a reasonable doubt:</w:t>
      </w:r>
    </w:p>
    <w:p w14:paraId="10856BD3" w14:textId="77777777" w:rsidR="005067E6" w:rsidRPr="001B3304" w:rsidRDefault="005067E6" w:rsidP="003E1822">
      <w:pPr>
        <w:pStyle w:val="NoSpacing"/>
        <w:rPr>
          <w:szCs w:val="24"/>
        </w:rPr>
      </w:pPr>
    </w:p>
    <w:p w14:paraId="1E3FD806" w14:textId="77777777" w:rsidR="005067E6" w:rsidRPr="001B3304" w:rsidRDefault="005067E6" w:rsidP="003E1822">
      <w:pPr>
        <w:pStyle w:val="NoSpacing"/>
        <w:rPr>
          <w:szCs w:val="24"/>
        </w:rPr>
      </w:pPr>
      <w:r w:rsidRPr="001B3304">
        <w:rPr>
          <w:szCs w:val="24"/>
        </w:rPr>
        <w:t>1.    An intentional communication by means of telecommunication;</w:t>
      </w:r>
    </w:p>
    <w:p w14:paraId="124F219E" w14:textId="77777777" w:rsidR="005067E6" w:rsidRPr="001B3304" w:rsidRDefault="005067E6" w:rsidP="003E1822">
      <w:pPr>
        <w:pStyle w:val="NoSpacing"/>
        <w:rPr>
          <w:szCs w:val="24"/>
        </w:rPr>
      </w:pPr>
      <w:r w:rsidRPr="001B3304">
        <w:rPr>
          <w:szCs w:val="24"/>
        </w:rPr>
        <w:t>2.    With a person the accused person knows to be under the requisite age; and</w:t>
      </w:r>
    </w:p>
    <w:p w14:paraId="1A07CE78" w14:textId="77777777" w:rsidR="005067E6" w:rsidRPr="001B3304" w:rsidRDefault="005067E6" w:rsidP="003E1822">
      <w:pPr>
        <w:pStyle w:val="NoSpacing"/>
        <w:rPr>
          <w:szCs w:val="24"/>
        </w:rPr>
      </w:pPr>
      <w:r w:rsidRPr="001B3304">
        <w:rPr>
          <w:szCs w:val="24"/>
        </w:rPr>
        <w:t xml:space="preserve">3.    For the specific purpose of facilitating the commission of a designated offence: </w:t>
      </w:r>
    </w:p>
    <w:p w14:paraId="6AAD5AF5" w14:textId="77777777" w:rsidR="005067E6" w:rsidRPr="001B3304" w:rsidRDefault="005067E6" w:rsidP="003E1822">
      <w:pPr>
        <w:pStyle w:val="NoSpacing"/>
        <w:rPr>
          <w:szCs w:val="24"/>
        </w:rPr>
      </w:pPr>
    </w:p>
    <w:p w14:paraId="00C97029" w14:textId="16205065" w:rsidR="005067E6" w:rsidRPr="001B3304" w:rsidRDefault="005067E6" w:rsidP="003E1822">
      <w:pPr>
        <w:pStyle w:val="NoSpacing"/>
        <w:rPr>
          <w:szCs w:val="24"/>
        </w:rPr>
      </w:pPr>
      <w:r w:rsidRPr="001B3304">
        <w:rPr>
          <w:szCs w:val="24"/>
        </w:rPr>
        <w:lastRenderedPageBreak/>
        <w:t xml:space="preserve"> Section 172.1 does not require proof of a “sexual purpose”. The Crown must only prove the accused “engage[d] in the prohibited conduct with the specific intent of facilitating the commission of one of the designated offences: </w:t>
      </w:r>
      <w:r w:rsidRPr="001B3304">
        <w:rPr>
          <w:i/>
          <w:iCs/>
          <w:szCs w:val="24"/>
        </w:rPr>
        <w:t xml:space="preserve">R v </w:t>
      </w:r>
      <w:proofErr w:type="spellStart"/>
      <w:r w:rsidRPr="001B3304">
        <w:rPr>
          <w:i/>
          <w:iCs/>
          <w:szCs w:val="24"/>
        </w:rPr>
        <w:t>McSween</w:t>
      </w:r>
      <w:proofErr w:type="spellEnd"/>
      <w:r w:rsidRPr="001B3304">
        <w:rPr>
          <w:i/>
          <w:iCs/>
          <w:szCs w:val="24"/>
        </w:rPr>
        <w:t xml:space="preserve">, </w:t>
      </w:r>
      <w:hyperlink r:id="rId33" w:history="1">
        <w:r w:rsidRPr="001B3304">
          <w:rPr>
            <w:rStyle w:val="Hyperlink"/>
            <w:szCs w:val="24"/>
          </w:rPr>
          <w:t>2020 ONCA 343</w:t>
        </w:r>
      </w:hyperlink>
      <w:r w:rsidRPr="001B3304">
        <w:rPr>
          <w:szCs w:val="24"/>
        </w:rPr>
        <w:t>, at paras 103, 106</w:t>
      </w:r>
    </w:p>
    <w:p w14:paraId="70B8DF6C" w14:textId="7F601CEE" w:rsidR="00B82300" w:rsidRPr="001B3304" w:rsidRDefault="00B82300" w:rsidP="003E1822">
      <w:pPr>
        <w:pStyle w:val="NoSpacing"/>
        <w:rPr>
          <w:szCs w:val="24"/>
        </w:rPr>
      </w:pPr>
    </w:p>
    <w:p w14:paraId="2542C97A" w14:textId="05211639" w:rsidR="00B82300" w:rsidRPr="001B3304" w:rsidRDefault="00B82300" w:rsidP="00B82300">
      <w:pPr>
        <w:pStyle w:val="NoSpacing"/>
        <w:rPr>
          <w:szCs w:val="24"/>
        </w:rPr>
      </w:pPr>
      <w:r w:rsidRPr="001B3304">
        <w:rPr>
          <w:szCs w:val="24"/>
        </w:rPr>
        <w:t xml:space="preserve">To satisfy the requirement of communications being for the “purpose of facilitating” one of the listed offences in s. 172.1(1)(c), it is not necessary that an accused have the intent to commit one of the listed offences or the intent to meet the person they are communicating with in person. Rather, the “purpose of facilitating” requirement would be satisfied by a purpose of: helping to bring about and making easier or more probable – for example, by ‘luring’ or ‘grooming’ young persons to commit or participate in the prohibited conduct; by reducing their inhibitions; or by prurient discourse that exploits a young person’s curiosity, immaturity or precocious sexuality: </w:t>
      </w:r>
      <w:r w:rsidRPr="001B3304">
        <w:rPr>
          <w:i/>
          <w:iCs/>
          <w:szCs w:val="24"/>
        </w:rPr>
        <w:t xml:space="preserve">R v Bowers, </w:t>
      </w:r>
      <w:hyperlink r:id="rId34" w:history="1">
        <w:r w:rsidRPr="001B3304">
          <w:rPr>
            <w:rStyle w:val="Hyperlink"/>
            <w:szCs w:val="24"/>
          </w:rPr>
          <w:t>2022 ONCA 852</w:t>
        </w:r>
      </w:hyperlink>
      <w:r w:rsidRPr="001B3304">
        <w:rPr>
          <w:szCs w:val="24"/>
        </w:rPr>
        <w:t>, at paras 16-17</w:t>
      </w:r>
    </w:p>
    <w:p w14:paraId="6319FE5E" w14:textId="76EA8E58" w:rsidR="005067E6" w:rsidRPr="001B3304" w:rsidRDefault="005067E6" w:rsidP="003E1822">
      <w:pPr>
        <w:spacing w:line="276" w:lineRule="auto"/>
        <w:rPr>
          <w:rFonts w:ascii="Arial" w:hAnsi="Arial" w:cs="Arial"/>
        </w:rPr>
      </w:pPr>
    </w:p>
    <w:p w14:paraId="49D397AF" w14:textId="72269D7B" w:rsidR="00323B52" w:rsidRPr="001B3304" w:rsidRDefault="0085084A" w:rsidP="0085084A">
      <w:pPr>
        <w:pStyle w:val="NoSpacing"/>
        <w:rPr>
          <w:szCs w:val="24"/>
        </w:rPr>
      </w:pPr>
      <w:r w:rsidRPr="001B3304">
        <w:rPr>
          <w:szCs w:val="24"/>
        </w:rPr>
        <w:t>Where the offence arises from communications, o</w:t>
      </w:r>
      <w:r w:rsidR="00323B52" w:rsidRPr="001B3304">
        <w:rPr>
          <w:szCs w:val="24"/>
        </w:rPr>
        <w:t xml:space="preserve">nce the communication was completed, the offence </w:t>
      </w:r>
      <w:r w:rsidRPr="001B3304">
        <w:rPr>
          <w:szCs w:val="24"/>
        </w:rPr>
        <w:t>is</w:t>
      </w:r>
      <w:r w:rsidR="00323B52" w:rsidRPr="001B3304">
        <w:rPr>
          <w:szCs w:val="24"/>
        </w:rPr>
        <w:t xml:space="preserve"> complete. </w:t>
      </w:r>
      <w:r w:rsidRPr="001B3304">
        <w:rPr>
          <w:szCs w:val="24"/>
        </w:rPr>
        <w:t xml:space="preserve">The accused need not be </w:t>
      </w:r>
      <w:r w:rsidR="00323B52" w:rsidRPr="001B3304">
        <w:rPr>
          <w:szCs w:val="24"/>
        </w:rPr>
        <w:t xml:space="preserve"> afforded the opportunity to verify </w:t>
      </w:r>
      <w:r w:rsidRPr="001B3304">
        <w:rPr>
          <w:szCs w:val="24"/>
        </w:rPr>
        <w:t>the victim’s</w:t>
      </w:r>
      <w:r w:rsidR="00323B52" w:rsidRPr="001B3304">
        <w:rPr>
          <w:szCs w:val="24"/>
        </w:rPr>
        <w:t xml:space="preserve"> age by visually assessing or calling her </w:t>
      </w:r>
      <w:r w:rsidRPr="001B3304">
        <w:rPr>
          <w:szCs w:val="24"/>
        </w:rPr>
        <w:t xml:space="preserve">first: </w:t>
      </w:r>
      <w:r w:rsidRPr="001B3304">
        <w:rPr>
          <w:i/>
          <w:iCs/>
          <w:szCs w:val="24"/>
        </w:rPr>
        <w:t xml:space="preserve">R v </w:t>
      </w:r>
      <w:proofErr w:type="spellStart"/>
      <w:r w:rsidRPr="001B3304">
        <w:rPr>
          <w:i/>
          <w:iCs/>
          <w:szCs w:val="24"/>
        </w:rPr>
        <w:t>Veerasingam</w:t>
      </w:r>
      <w:proofErr w:type="spellEnd"/>
      <w:r w:rsidRPr="001B3304">
        <w:rPr>
          <w:i/>
          <w:iCs/>
          <w:szCs w:val="24"/>
        </w:rPr>
        <w:t xml:space="preserve">, </w:t>
      </w:r>
      <w:hyperlink r:id="rId35" w:history="1">
        <w:r w:rsidRPr="001B3304">
          <w:rPr>
            <w:rStyle w:val="Hyperlink"/>
            <w:szCs w:val="24"/>
          </w:rPr>
          <w:t>2021 ONCA 350</w:t>
        </w:r>
      </w:hyperlink>
      <w:r w:rsidRPr="001B3304">
        <w:rPr>
          <w:szCs w:val="24"/>
        </w:rPr>
        <w:t>, at para 14</w:t>
      </w:r>
    </w:p>
    <w:p w14:paraId="1F63C221" w14:textId="647D9DF4" w:rsidR="00323B52" w:rsidRPr="001B3304" w:rsidRDefault="00323B52" w:rsidP="003E1822">
      <w:pPr>
        <w:spacing w:line="276" w:lineRule="auto"/>
        <w:rPr>
          <w:rFonts w:ascii="Arial" w:hAnsi="Arial" w:cs="Arial"/>
        </w:rPr>
      </w:pPr>
    </w:p>
    <w:p w14:paraId="42219619" w14:textId="3392D677" w:rsidR="002A2B17" w:rsidRPr="001B3304" w:rsidRDefault="002A2B17" w:rsidP="002A2B17">
      <w:pPr>
        <w:pStyle w:val="NoSpacing"/>
        <w:rPr>
          <w:szCs w:val="24"/>
        </w:rPr>
      </w:pPr>
      <w:r w:rsidRPr="001B3304">
        <w:rPr>
          <w:szCs w:val="24"/>
        </w:rPr>
        <w:t>In most cases, an accused who never turns their mind to the age of the other person is properly characterized as reckless. Reckless indifference also describes a subjective state of mind, a choice to treat age as irrelevant and to assume the risk associated with that choice: </w:t>
      </w:r>
      <w:r w:rsidRPr="001B3304">
        <w:rPr>
          <w:i/>
          <w:iCs/>
          <w:szCs w:val="24"/>
        </w:rPr>
        <w:t xml:space="preserve">R v </w:t>
      </w:r>
      <w:proofErr w:type="spellStart"/>
      <w:r w:rsidRPr="001B3304">
        <w:rPr>
          <w:i/>
          <w:iCs/>
          <w:szCs w:val="24"/>
        </w:rPr>
        <w:t>Alexozai</w:t>
      </w:r>
      <w:proofErr w:type="spellEnd"/>
      <w:r w:rsidRPr="001B3304">
        <w:rPr>
          <w:i/>
          <w:iCs/>
          <w:szCs w:val="24"/>
        </w:rPr>
        <w:t xml:space="preserve">, </w:t>
      </w:r>
      <w:hyperlink r:id="rId36" w:history="1">
        <w:r w:rsidRPr="001B3304">
          <w:rPr>
            <w:rStyle w:val="Hyperlink"/>
            <w:szCs w:val="24"/>
          </w:rPr>
          <w:t>2021 ONCA 633</w:t>
        </w:r>
      </w:hyperlink>
      <w:r w:rsidRPr="001B3304">
        <w:rPr>
          <w:szCs w:val="24"/>
        </w:rPr>
        <w:t>, at para 42</w:t>
      </w:r>
    </w:p>
    <w:p w14:paraId="5387AB59" w14:textId="77777777" w:rsidR="002A2B17" w:rsidRPr="001B3304" w:rsidRDefault="002A2B17" w:rsidP="002A2B17">
      <w:pPr>
        <w:pStyle w:val="NoSpacing"/>
        <w:rPr>
          <w:szCs w:val="24"/>
        </w:rPr>
      </w:pPr>
    </w:p>
    <w:p w14:paraId="5638EC4A" w14:textId="33603DB5" w:rsidR="002A2B17" w:rsidRPr="001B3304" w:rsidRDefault="002A2B17" w:rsidP="002A2B17">
      <w:pPr>
        <w:pStyle w:val="NoSpacing"/>
        <w:rPr>
          <w:szCs w:val="24"/>
        </w:rPr>
      </w:pPr>
      <w:r w:rsidRPr="001B3304">
        <w:rPr>
          <w:szCs w:val="24"/>
        </w:rPr>
        <w:t xml:space="preserve">The Crown may negate the </w:t>
      </w:r>
      <w:proofErr w:type="spellStart"/>
      <w:r w:rsidRPr="001B3304">
        <w:rPr>
          <w:szCs w:val="24"/>
        </w:rPr>
        <w:t>defence</w:t>
      </w:r>
      <w:proofErr w:type="spellEnd"/>
      <w:r w:rsidRPr="001B3304">
        <w:rPr>
          <w:szCs w:val="24"/>
        </w:rPr>
        <w:t xml:space="preserve"> of mistaken belief in age in either of two ways. The Crown may prove that the accused did not honestly believe that the other person was at least 18 years old at the time of the offence. Or the Crown may prove that, despite the accused’s claim that they honestly believed that the other person was at least 18, the accused did not take reasonable steps to ascertain the other person’s age: </w:t>
      </w:r>
      <w:r w:rsidRPr="001B3304">
        <w:rPr>
          <w:i/>
          <w:iCs/>
          <w:szCs w:val="24"/>
        </w:rPr>
        <w:t xml:space="preserve">R v </w:t>
      </w:r>
      <w:proofErr w:type="spellStart"/>
      <w:r w:rsidRPr="001B3304">
        <w:rPr>
          <w:i/>
          <w:iCs/>
          <w:szCs w:val="24"/>
        </w:rPr>
        <w:t>Alexozai</w:t>
      </w:r>
      <w:proofErr w:type="spellEnd"/>
      <w:r w:rsidRPr="001B3304">
        <w:rPr>
          <w:i/>
          <w:iCs/>
          <w:szCs w:val="24"/>
        </w:rPr>
        <w:t xml:space="preserve">, </w:t>
      </w:r>
      <w:hyperlink r:id="rId37" w:history="1">
        <w:r w:rsidRPr="001B3304">
          <w:rPr>
            <w:rStyle w:val="Hyperlink"/>
            <w:szCs w:val="24"/>
          </w:rPr>
          <w:t>2021 ONCA 633</w:t>
        </w:r>
      </w:hyperlink>
      <w:r w:rsidRPr="001B3304">
        <w:rPr>
          <w:szCs w:val="24"/>
        </w:rPr>
        <w:t>, at para 44</w:t>
      </w:r>
    </w:p>
    <w:p w14:paraId="60CDBD48" w14:textId="77777777" w:rsidR="002A2B17" w:rsidRPr="001B3304" w:rsidRDefault="002A2B17" w:rsidP="002A2B17">
      <w:pPr>
        <w:rPr>
          <w:rFonts w:ascii="Arial" w:hAnsi="Arial" w:cs="Arial"/>
        </w:rPr>
      </w:pPr>
    </w:p>
    <w:p w14:paraId="292652AF" w14:textId="77777777" w:rsidR="002A2B17" w:rsidRPr="001B3304" w:rsidRDefault="002A2B17" w:rsidP="003E1822">
      <w:pPr>
        <w:spacing w:line="276" w:lineRule="auto"/>
        <w:rPr>
          <w:rFonts w:ascii="Arial" w:hAnsi="Arial" w:cs="Arial"/>
        </w:rPr>
      </w:pPr>
    </w:p>
    <w:p w14:paraId="0C51D2AA" w14:textId="77777777" w:rsidR="00BE0BEE" w:rsidRPr="001B3304" w:rsidRDefault="00BE0BEE" w:rsidP="003E1822">
      <w:pPr>
        <w:spacing w:line="276" w:lineRule="auto"/>
        <w:rPr>
          <w:rFonts w:ascii="Arial" w:hAnsi="Arial" w:cs="Arial"/>
        </w:rPr>
      </w:pPr>
    </w:p>
    <w:p w14:paraId="36E34DCA" w14:textId="6903253F" w:rsidR="007D4B4E" w:rsidRPr="001B3304" w:rsidRDefault="007D4B4E" w:rsidP="007D4B4E">
      <w:pPr>
        <w:pStyle w:val="Heading1"/>
        <w:spacing w:line="276" w:lineRule="auto"/>
        <w:rPr>
          <w:rFonts w:ascii="Arial" w:hAnsi="Arial" w:cs="Arial"/>
          <w:sz w:val="24"/>
          <w:szCs w:val="24"/>
        </w:rPr>
      </w:pPr>
      <w:bookmarkStart w:id="44" w:name="_Toc134294084"/>
      <w:r w:rsidRPr="001B3304">
        <w:rPr>
          <w:rFonts w:ascii="Arial" w:hAnsi="Arial" w:cs="Arial"/>
          <w:sz w:val="24"/>
          <w:szCs w:val="24"/>
        </w:rPr>
        <w:t>Part VI: Invasion of Privacy</w:t>
      </w:r>
      <w:bookmarkEnd w:id="44"/>
    </w:p>
    <w:p w14:paraId="2624B366" w14:textId="38B8CFE2" w:rsidR="007D4B4E" w:rsidRPr="001B3304" w:rsidRDefault="007D4B4E" w:rsidP="007D4B4E">
      <w:pPr>
        <w:rPr>
          <w:rFonts w:ascii="Arial" w:hAnsi="Arial" w:cs="Arial"/>
        </w:rPr>
      </w:pPr>
    </w:p>
    <w:p w14:paraId="250BDD75" w14:textId="52755FEC" w:rsidR="007D4B4E" w:rsidRPr="001B3304" w:rsidRDefault="007D4B4E" w:rsidP="007D4B4E">
      <w:pPr>
        <w:pStyle w:val="Heading2"/>
        <w:numPr>
          <w:ilvl w:val="0"/>
          <w:numId w:val="47"/>
        </w:numPr>
      </w:pPr>
      <w:bookmarkStart w:id="45" w:name="_Toc134294085"/>
      <w:r w:rsidRPr="001B3304">
        <w:lastRenderedPageBreak/>
        <w:t>S.193: Disclosure of Information</w:t>
      </w:r>
      <w:bookmarkEnd w:id="45"/>
    </w:p>
    <w:p w14:paraId="05B5D759" w14:textId="77777777" w:rsidR="007D4B4E" w:rsidRPr="001B3304" w:rsidRDefault="007D4B4E" w:rsidP="007D4B4E">
      <w:pPr>
        <w:pStyle w:val="NoSpacing"/>
        <w:rPr>
          <w:szCs w:val="24"/>
        </w:rPr>
      </w:pPr>
    </w:p>
    <w:p w14:paraId="431939D8" w14:textId="5645CE2D" w:rsidR="007D4B4E" w:rsidRPr="001B3304" w:rsidRDefault="007D4B4E" w:rsidP="007D4B4E">
      <w:pPr>
        <w:pStyle w:val="NoSpacing"/>
        <w:rPr>
          <w:rFonts w:eastAsia="Times New Roman"/>
          <w:szCs w:val="24"/>
          <w:lang w:val="en-CA"/>
        </w:rPr>
      </w:pPr>
      <w:r w:rsidRPr="001B3304">
        <w:rPr>
          <w:szCs w:val="24"/>
        </w:rPr>
        <w:t>Sections 193(1) and 193.1(1) of the </w:t>
      </w:r>
      <w:r w:rsidRPr="001B3304">
        <w:rPr>
          <w:i/>
          <w:iCs/>
          <w:szCs w:val="24"/>
        </w:rPr>
        <w:t>Criminal Code</w:t>
      </w:r>
      <w:r w:rsidRPr="001B3304">
        <w:rPr>
          <w:szCs w:val="24"/>
        </w:rPr>
        <w:t xml:space="preserve"> make the use or disclosure of an intercepted communication or disclosure “of any part, substance, or meaning thereof or its existence”, an indictable offence, subject to the exemptions in ss. 193(2) and (3).  One of the exemptions is for disclosure in the course of a criminal investigation. </w:t>
      </w:r>
      <w:r w:rsidRPr="001B3304">
        <w:rPr>
          <w:rFonts w:eastAsia="Times New Roman"/>
          <w:szCs w:val="24"/>
          <w:lang w:val="en-CA"/>
        </w:rPr>
        <w:t xml:space="preserve">The subjective belief of the person making the disclosure is the relevant factor for determining whether the exemption is engaged. There is no objective assessment of the necessity for the disclosure: </w:t>
      </w:r>
      <w:r w:rsidRPr="001B3304">
        <w:rPr>
          <w:rFonts w:eastAsia="Times New Roman"/>
          <w:i/>
          <w:iCs/>
          <w:szCs w:val="24"/>
          <w:lang w:val="en-CA"/>
        </w:rPr>
        <w:t xml:space="preserve">R v </w:t>
      </w:r>
      <w:proofErr w:type="spellStart"/>
      <w:r w:rsidRPr="001B3304">
        <w:rPr>
          <w:rFonts w:eastAsia="Times New Roman"/>
          <w:i/>
          <w:iCs/>
          <w:szCs w:val="24"/>
          <w:lang w:val="en-CA"/>
        </w:rPr>
        <w:t>Petrolo</w:t>
      </w:r>
      <w:proofErr w:type="spellEnd"/>
      <w:r w:rsidR="00EB251D" w:rsidRPr="001B3304">
        <w:rPr>
          <w:szCs w:val="24"/>
        </w:rPr>
        <w:fldChar w:fldCharType="begin"/>
      </w:r>
      <w:r w:rsidR="00EB251D" w:rsidRPr="001B3304">
        <w:rPr>
          <w:szCs w:val="24"/>
        </w:rPr>
        <w:instrText xml:space="preserve"> HYPERLINK "https://www.ontariocourts.ca/decisions/2021/2021ONCA0498.htm" </w:instrText>
      </w:r>
      <w:r w:rsidR="00EB251D" w:rsidRPr="001B3304">
        <w:rPr>
          <w:szCs w:val="24"/>
        </w:rPr>
      </w:r>
      <w:r w:rsidR="00EB251D" w:rsidRPr="001B3304">
        <w:rPr>
          <w:szCs w:val="24"/>
        </w:rPr>
        <w:fldChar w:fldCharType="separate"/>
      </w:r>
      <w:r w:rsidRPr="001B3304">
        <w:rPr>
          <w:rStyle w:val="Hyperlink"/>
          <w:rFonts w:eastAsia="Times New Roman"/>
          <w:i/>
          <w:iCs/>
          <w:szCs w:val="24"/>
          <w:lang w:val="en-CA"/>
        </w:rPr>
        <w:t xml:space="preserve">, </w:t>
      </w:r>
      <w:r w:rsidRPr="001B3304">
        <w:rPr>
          <w:rStyle w:val="Hyperlink"/>
          <w:rFonts w:eastAsia="Times New Roman"/>
          <w:szCs w:val="24"/>
          <w:lang w:val="en-CA"/>
        </w:rPr>
        <w:t>2021 ONCA 498</w:t>
      </w:r>
      <w:r w:rsidR="00EB251D" w:rsidRPr="001B3304">
        <w:rPr>
          <w:rStyle w:val="Hyperlink"/>
          <w:rFonts w:eastAsia="Times New Roman"/>
          <w:szCs w:val="24"/>
          <w:lang w:val="en-CA"/>
        </w:rPr>
        <w:fldChar w:fldCharType="end"/>
      </w:r>
      <w:r w:rsidRPr="001B3304">
        <w:rPr>
          <w:rFonts w:eastAsia="Times New Roman"/>
          <w:szCs w:val="24"/>
          <w:lang w:val="en-CA"/>
        </w:rPr>
        <w:t>, at paras 29-35</w:t>
      </w:r>
    </w:p>
    <w:p w14:paraId="4F0381E4" w14:textId="044A47DF" w:rsidR="00777315" w:rsidRPr="001B3304" w:rsidRDefault="00777315" w:rsidP="007D4B4E">
      <w:pPr>
        <w:pStyle w:val="NoSpacing"/>
        <w:rPr>
          <w:rFonts w:eastAsia="Times New Roman"/>
          <w:szCs w:val="24"/>
          <w:lang w:val="en-CA"/>
        </w:rPr>
      </w:pPr>
    </w:p>
    <w:p w14:paraId="30B3D5EF" w14:textId="7E22F3D5" w:rsidR="00777315" w:rsidRPr="001B3304" w:rsidRDefault="00777315" w:rsidP="007D4B4E">
      <w:pPr>
        <w:pStyle w:val="NoSpacing"/>
        <w:rPr>
          <w:rFonts w:eastAsia="Times New Roman"/>
          <w:szCs w:val="24"/>
          <w:lang w:val="en-CA"/>
        </w:rPr>
      </w:pPr>
    </w:p>
    <w:p w14:paraId="1DF1338F" w14:textId="77777777" w:rsidR="00777315" w:rsidRPr="001B3304" w:rsidRDefault="00777315" w:rsidP="007D4B4E">
      <w:pPr>
        <w:pStyle w:val="NoSpacing"/>
        <w:rPr>
          <w:rFonts w:eastAsia="Times New Roman"/>
          <w:szCs w:val="24"/>
          <w:lang w:val="en-CA"/>
        </w:rPr>
      </w:pPr>
    </w:p>
    <w:p w14:paraId="7BEDC13D" w14:textId="77777777" w:rsidR="007D4B4E" w:rsidRPr="001B3304" w:rsidRDefault="007D4B4E" w:rsidP="007D4B4E">
      <w:pPr>
        <w:rPr>
          <w:rFonts w:ascii="Arial" w:hAnsi="Arial" w:cs="Arial"/>
          <w:lang w:val="en-US"/>
        </w:rPr>
      </w:pPr>
    </w:p>
    <w:p w14:paraId="7858576F" w14:textId="0F973545" w:rsidR="00AF3234" w:rsidRPr="001B3304" w:rsidRDefault="003E1305" w:rsidP="003E1822">
      <w:pPr>
        <w:pStyle w:val="Heading1"/>
        <w:spacing w:line="276" w:lineRule="auto"/>
        <w:rPr>
          <w:rFonts w:ascii="Arial" w:hAnsi="Arial" w:cs="Arial"/>
          <w:sz w:val="24"/>
          <w:szCs w:val="24"/>
        </w:rPr>
      </w:pPr>
      <w:bookmarkStart w:id="46" w:name="_Toc134294086"/>
      <w:r w:rsidRPr="001B3304">
        <w:rPr>
          <w:rFonts w:ascii="Arial" w:hAnsi="Arial" w:cs="Arial"/>
          <w:sz w:val="24"/>
          <w:szCs w:val="24"/>
        </w:rPr>
        <w:t>PART VIII: OFFENCES AGAINST THE PERSON AND REPUTATION</w:t>
      </w:r>
      <w:bookmarkEnd w:id="46"/>
      <w:r w:rsidRPr="001B3304">
        <w:rPr>
          <w:rFonts w:ascii="Arial" w:hAnsi="Arial" w:cs="Arial"/>
          <w:sz w:val="24"/>
          <w:szCs w:val="24"/>
        </w:rPr>
        <w:t xml:space="preserve"> </w:t>
      </w:r>
    </w:p>
    <w:p w14:paraId="0C658BA6" w14:textId="77777777" w:rsidR="000E487F" w:rsidRPr="001B3304" w:rsidRDefault="000E487F" w:rsidP="003E1822">
      <w:pPr>
        <w:spacing w:line="276" w:lineRule="auto"/>
        <w:rPr>
          <w:rFonts w:ascii="Arial" w:hAnsi="Arial" w:cs="Arial"/>
        </w:rPr>
      </w:pPr>
    </w:p>
    <w:p w14:paraId="7093E58C" w14:textId="33B6D51C" w:rsidR="00E31AE1" w:rsidRPr="001B3304" w:rsidRDefault="00457CBD" w:rsidP="003E1822">
      <w:pPr>
        <w:pStyle w:val="Heading2"/>
        <w:numPr>
          <w:ilvl w:val="0"/>
          <w:numId w:val="24"/>
        </w:numPr>
        <w:spacing w:line="276" w:lineRule="auto"/>
      </w:pPr>
      <w:bookmarkStart w:id="47" w:name="_Toc134294087"/>
      <w:r w:rsidRPr="001B3304">
        <w:t>F</w:t>
      </w:r>
      <w:r w:rsidR="00E31AE1" w:rsidRPr="001B3304">
        <w:t xml:space="preserve">ail to </w:t>
      </w:r>
      <w:r w:rsidRPr="001B3304">
        <w:t>P</w:t>
      </w:r>
      <w:r w:rsidR="00E31AE1" w:rsidRPr="001B3304">
        <w:t xml:space="preserve">rovide the </w:t>
      </w:r>
      <w:r w:rsidRPr="001B3304">
        <w:t>N</w:t>
      </w:r>
      <w:r w:rsidR="00E31AE1" w:rsidRPr="001B3304">
        <w:t>ecessaries: s.215</w:t>
      </w:r>
      <w:bookmarkEnd w:id="47"/>
    </w:p>
    <w:p w14:paraId="39F99298" w14:textId="77777777" w:rsidR="00E31AE1" w:rsidRPr="001B3304" w:rsidRDefault="00E31AE1" w:rsidP="003E1822">
      <w:pPr>
        <w:spacing w:line="276" w:lineRule="auto"/>
        <w:rPr>
          <w:rFonts w:ascii="Arial" w:hAnsi="Arial" w:cs="Arial"/>
        </w:rPr>
      </w:pPr>
    </w:p>
    <w:p w14:paraId="741D5E08" w14:textId="411022DF" w:rsidR="004358F8" w:rsidRPr="001B3304" w:rsidRDefault="004358F8">
      <w:pPr>
        <w:pStyle w:val="Heading3"/>
        <w:numPr>
          <w:ilvl w:val="0"/>
          <w:numId w:val="54"/>
        </w:numPr>
      </w:pPr>
      <w:bookmarkStart w:id="48" w:name="_Toc134294088"/>
      <w:r w:rsidRPr="001B3304">
        <w:t>General Principles</w:t>
      </w:r>
      <w:bookmarkEnd w:id="48"/>
    </w:p>
    <w:p w14:paraId="6CBC0786" w14:textId="77777777" w:rsidR="004358F8" w:rsidRPr="001B3304" w:rsidRDefault="004358F8" w:rsidP="004358F8">
      <w:pPr>
        <w:spacing w:line="276" w:lineRule="auto"/>
        <w:jc w:val="both"/>
        <w:rPr>
          <w:rFonts w:ascii="Arial" w:hAnsi="Arial" w:cs="Arial"/>
        </w:rPr>
      </w:pPr>
    </w:p>
    <w:p w14:paraId="4C7F8BD9" w14:textId="4245BD33" w:rsidR="00457CBD" w:rsidRPr="001B3304" w:rsidRDefault="00E31AE1" w:rsidP="004358F8">
      <w:pPr>
        <w:spacing w:line="276" w:lineRule="auto"/>
        <w:jc w:val="both"/>
        <w:rPr>
          <w:rFonts w:ascii="Arial" w:hAnsi="Arial" w:cs="Arial"/>
          <w:b/>
          <w:caps/>
          <w:color w:val="632423" w:themeColor="accent2" w:themeShade="80"/>
          <w:spacing w:val="20"/>
          <w:bdr w:val="none" w:sz="0" w:space="0" w:color="auto" w:frame="1"/>
        </w:rPr>
      </w:pPr>
      <w:r w:rsidRPr="001B3304">
        <w:rPr>
          <w:rFonts w:ascii="Arial" w:hAnsi="Arial" w:cs="Arial"/>
        </w:rPr>
        <w:t xml:space="preserve">For a thorough review of the actus reus and </w:t>
      </w:r>
      <w:proofErr w:type="spellStart"/>
      <w:r w:rsidRPr="001B3304">
        <w:rPr>
          <w:rFonts w:ascii="Arial" w:hAnsi="Arial" w:cs="Arial"/>
        </w:rPr>
        <w:t>mens</w:t>
      </w:r>
      <w:proofErr w:type="spellEnd"/>
      <w:r w:rsidRPr="001B3304">
        <w:rPr>
          <w:rFonts w:ascii="Arial" w:hAnsi="Arial" w:cs="Arial"/>
        </w:rPr>
        <w:t xml:space="preserve"> rea for this offence, see the dissenting reasons of </w:t>
      </w:r>
      <w:proofErr w:type="spellStart"/>
      <w:r w:rsidRPr="001B3304">
        <w:rPr>
          <w:rFonts w:ascii="Arial" w:hAnsi="Arial" w:cs="Arial"/>
        </w:rPr>
        <w:t>O’Ferrall</w:t>
      </w:r>
      <w:proofErr w:type="spellEnd"/>
      <w:r w:rsidRPr="001B3304">
        <w:rPr>
          <w:rFonts w:ascii="Arial" w:hAnsi="Arial" w:cs="Arial"/>
        </w:rPr>
        <w:t xml:space="preserve"> J in </w:t>
      </w:r>
      <w:r w:rsidRPr="001B3304">
        <w:rPr>
          <w:rFonts w:ascii="Arial" w:hAnsi="Arial" w:cs="Arial"/>
          <w:i/>
        </w:rPr>
        <w:t xml:space="preserve">R v Stephen, </w:t>
      </w:r>
      <w:r w:rsidRPr="001B3304">
        <w:rPr>
          <w:rFonts w:ascii="Arial" w:hAnsi="Arial" w:cs="Arial"/>
        </w:rPr>
        <w:t>2017 ABCA 380 at paras 218-274, aff’d at ​</w:t>
      </w:r>
      <w:hyperlink r:id="rId38" w:history="1">
        <w:r w:rsidRPr="001B3304">
          <w:rPr>
            <w:rStyle w:val="Hyperlink"/>
            <w:rFonts w:ascii="Arial" w:hAnsi="Arial" w:cs="Arial"/>
          </w:rPr>
          <w:t>2018 SCC 21</w:t>
        </w:r>
      </w:hyperlink>
      <w:r w:rsidRPr="001B3304">
        <w:rPr>
          <w:rFonts w:ascii="Arial" w:hAnsi="Arial" w:cs="Arial"/>
          <w:b/>
          <w:caps/>
          <w:color w:val="632423" w:themeColor="accent2" w:themeShade="80"/>
          <w:spacing w:val="20"/>
          <w:bdr w:val="none" w:sz="0" w:space="0" w:color="auto" w:frame="1"/>
        </w:rPr>
        <w:t xml:space="preserve"> </w:t>
      </w:r>
    </w:p>
    <w:p w14:paraId="08782379" w14:textId="1DBCD4FA" w:rsidR="004358F8" w:rsidRPr="001B3304" w:rsidRDefault="004358F8" w:rsidP="004358F8">
      <w:pPr>
        <w:spacing w:line="276" w:lineRule="auto"/>
        <w:jc w:val="both"/>
        <w:rPr>
          <w:rFonts w:ascii="Arial" w:hAnsi="Arial" w:cs="Arial"/>
          <w:b/>
          <w:caps/>
          <w:color w:val="632423" w:themeColor="accent2" w:themeShade="80"/>
          <w:spacing w:val="20"/>
          <w:bdr w:val="none" w:sz="0" w:space="0" w:color="auto" w:frame="1"/>
        </w:rPr>
      </w:pPr>
    </w:p>
    <w:p w14:paraId="70434C44" w14:textId="250D549B" w:rsidR="00FE22E7" w:rsidRPr="001B3304" w:rsidRDefault="00FE22E7" w:rsidP="00FE22E7">
      <w:pPr>
        <w:pStyle w:val="NoSpacing"/>
        <w:rPr>
          <w:szCs w:val="24"/>
        </w:rPr>
      </w:pPr>
      <w:r w:rsidRPr="001B3304">
        <w:rPr>
          <w:szCs w:val="24"/>
        </w:rPr>
        <w:t xml:space="preserve">The </w:t>
      </w:r>
      <w:proofErr w:type="spellStart"/>
      <w:r w:rsidRPr="001B3304">
        <w:rPr>
          <w:szCs w:val="24"/>
        </w:rPr>
        <w:t>mens</w:t>
      </w:r>
      <w:proofErr w:type="spellEnd"/>
      <w:r w:rsidRPr="001B3304">
        <w:rPr>
          <w:szCs w:val="24"/>
        </w:rPr>
        <w:t xml:space="preserve"> rea for s.215 is lower than the </w:t>
      </w:r>
      <w:proofErr w:type="spellStart"/>
      <w:r w:rsidRPr="001B3304">
        <w:rPr>
          <w:szCs w:val="24"/>
        </w:rPr>
        <w:t>mens</w:t>
      </w:r>
      <w:proofErr w:type="spellEnd"/>
      <w:r w:rsidRPr="001B3304">
        <w:rPr>
          <w:szCs w:val="24"/>
        </w:rPr>
        <w:t xml:space="preserve"> rea for manslaughter. Therefore, when the offence under </w:t>
      </w:r>
      <w:hyperlink r:id="rId39" w:anchor="!fragment/sec215" w:tgtFrame="_blank" w:history="1">
        <w:r w:rsidRPr="001B3304">
          <w:rPr>
            <w:rStyle w:val="Hyperlink"/>
            <w:color w:val="660000"/>
            <w:szCs w:val="24"/>
          </w:rPr>
          <w:t>s. 215</w:t>
        </w:r>
      </w:hyperlink>
      <w:r w:rsidRPr="001B3304">
        <w:rPr>
          <w:szCs w:val="24"/>
        </w:rPr>
        <w:t> is the predicate offence for either manslaughter or unlawfully causing bodily harm, if the Crown proves the requisite </w:t>
      </w:r>
      <w:proofErr w:type="spellStart"/>
      <w:r w:rsidRPr="001B3304">
        <w:rPr>
          <w:i/>
          <w:iCs/>
          <w:szCs w:val="24"/>
        </w:rPr>
        <w:t>mens</w:t>
      </w:r>
      <w:proofErr w:type="spellEnd"/>
      <w:r w:rsidRPr="001B3304">
        <w:rPr>
          <w:i/>
          <w:iCs/>
          <w:szCs w:val="24"/>
        </w:rPr>
        <w:t xml:space="preserve"> rea </w:t>
      </w:r>
      <w:r w:rsidRPr="001B3304">
        <w:rPr>
          <w:szCs w:val="24"/>
        </w:rPr>
        <w:t>requirement for </w:t>
      </w:r>
      <w:hyperlink r:id="rId40" w:anchor="!fragment/sec215" w:tgtFrame="_blank" w:history="1">
        <w:r w:rsidRPr="001B3304">
          <w:rPr>
            <w:rStyle w:val="Hyperlink"/>
            <w:color w:val="660000"/>
            <w:szCs w:val="24"/>
          </w:rPr>
          <w:t>s. 215</w:t>
        </w:r>
      </w:hyperlink>
      <w:r w:rsidRPr="001B3304">
        <w:rPr>
          <w:szCs w:val="24"/>
        </w:rPr>
        <w:t>, then, by necessary implication, the additional </w:t>
      </w:r>
      <w:proofErr w:type="spellStart"/>
      <w:r w:rsidRPr="001B3304">
        <w:rPr>
          <w:i/>
          <w:iCs/>
          <w:szCs w:val="24"/>
        </w:rPr>
        <w:t>mens</w:t>
      </w:r>
      <w:proofErr w:type="spellEnd"/>
      <w:r w:rsidRPr="001B3304">
        <w:rPr>
          <w:i/>
          <w:iCs/>
          <w:szCs w:val="24"/>
        </w:rPr>
        <w:t xml:space="preserve"> rea</w:t>
      </w:r>
      <w:r w:rsidRPr="001B3304">
        <w:rPr>
          <w:szCs w:val="24"/>
        </w:rPr>
        <w:t xml:space="preserve"> requirement for manslaughter or unlawfully causing bodily harm will be satisfied: </w:t>
      </w:r>
      <w:r w:rsidRPr="001B3304">
        <w:rPr>
          <w:i/>
          <w:iCs/>
          <w:szCs w:val="24"/>
        </w:rPr>
        <w:t xml:space="preserve">R v Goforth, </w:t>
      </w:r>
      <w:hyperlink r:id="rId41" w:history="1">
        <w:r w:rsidRPr="001B3304">
          <w:rPr>
            <w:rStyle w:val="Hyperlink"/>
            <w:szCs w:val="24"/>
          </w:rPr>
          <w:t>2022 SCC 25</w:t>
        </w:r>
      </w:hyperlink>
      <w:r w:rsidRPr="001B3304">
        <w:rPr>
          <w:szCs w:val="24"/>
        </w:rPr>
        <w:t>, at para 31</w:t>
      </w:r>
    </w:p>
    <w:p w14:paraId="223ABAD1" w14:textId="77777777" w:rsidR="00FE22E7" w:rsidRPr="001B3304" w:rsidRDefault="00FE22E7" w:rsidP="004358F8">
      <w:pPr>
        <w:spacing w:line="276" w:lineRule="auto"/>
        <w:jc w:val="both"/>
        <w:rPr>
          <w:rFonts w:ascii="Arial" w:hAnsi="Arial" w:cs="Arial"/>
          <w:b/>
          <w:caps/>
          <w:color w:val="632423" w:themeColor="accent2" w:themeShade="80"/>
          <w:spacing w:val="20"/>
          <w:bdr w:val="none" w:sz="0" w:space="0" w:color="auto" w:frame="1"/>
        </w:rPr>
      </w:pPr>
    </w:p>
    <w:p w14:paraId="0010595E" w14:textId="72876D9F" w:rsidR="004358F8" w:rsidRPr="001B3304" w:rsidRDefault="004358F8" w:rsidP="004358F8">
      <w:pPr>
        <w:pStyle w:val="Heading3"/>
      </w:pPr>
      <w:bookmarkStart w:id="49" w:name="_Toc134294089"/>
      <w:r w:rsidRPr="001B3304">
        <w:lastRenderedPageBreak/>
        <w:t xml:space="preserve">Section </w:t>
      </w:r>
      <w:hyperlink r:id="rId42" w:anchor="h-119680" w:history="1">
        <w:r w:rsidRPr="001B3304">
          <w:rPr>
            <w:rStyle w:val="Hyperlink"/>
          </w:rPr>
          <w:t>215(2)</w:t>
        </w:r>
        <w:bookmarkEnd w:id="49"/>
      </w:hyperlink>
      <w:r w:rsidR="00FE22E7" w:rsidRPr="001B3304">
        <w:t xml:space="preserve"> </w:t>
      </w:r>
    </w:p>
    <w:p w14:paraId="4A3C0B35" w14:textId="7C86CF2F" w:rsidR="003621BE" w:rsidRPr="001B3304" w:rsidRDefault="003621BE" w:rsidP="003E1822">
      <w:pPr>
        <w:spacing w:line="276" w:lineRule="auto"/>
        <w:rPr>
          <w:rFonts w:ascii="Arial" w:hAnsi="Arial" w:cs="Arial"/>
          <w:b/>
          <w:caps/>
          <w:color w:val="632423" w:themeColor="accent2" w:themeShade="80"/>
          <w:spacing w:val="20"/>
          <w:bdr w:val="none" w:sz="0" w:space="0" w:color="auto" w:frame="1"/>
        </w:rPr>
      </w:pPr>
    </w:p>
    <w:p w14:paraId="523CF49F" w14:textId="5BE15C20" w:rsidR="003D18C5" w:rsidRPr="001B3304" w:rsidRDefault="003621BE" w:rsidP="006B4A57">
      <w:pPr>
        <w:spacing w:line="276" w:lineRule="auto"/>
        <w:jc w:val="both"/>
        <w:rPr>
          <w:rFonts w:ascii="Arial" w:hAnsi="Arial" w:cs="Arial"/>
          <w:color w:val="000000"/>
        </w:rPr>
      </w:pPr>
      <w:r w:rsidRPr="001B3304">
        <w:rPr>
          <w:rFonts w:ascii="Arial" w:hAnsi="Arial" w:cs="Arial"/>
          <w:color w:val="000000"/>
        </w:rPr>
        <w:t xml:space="preserve">Under </w:t>
      </w:r>
      <w:hyperlink r:id="rId43" w:anchor="h-119680" w:history="1">
        <w:r w:rsidRPr="001B3304">
          <w:rPr>
            <w:rStyle w:val="Hyperlink"/>
            <w:rFonts w:ascii="Arial" w:hAnsi="Arial" w:cs="Arial"/>
          </w:rPr>
          <w:t>s. 215(2)(a)(</w:t>
        </w:r>
        <w:proofErr w:type="spellStart"/>
        <w:r w:rsidRPr="001B3304">
          <w:rPr>
            <w:rStyle w:val="Hyperlink"/>
            <w:rFonts w:ascii="Arial" w:hAnsi="Arial" w:cs="Arial"/>
          </w:rPr>
          <w:t>i</w:t>
        </w:r>
        <w:proofErr w:type="spellEnd"/>
        <w:r w:rsidRPr="001B3304">
          <w:rPr>
            <w:rStyle w:val="Hyperlink"/>
            <w:rFonts w:ascii="Arial" w:hAnsi="Arial" w:cs="Arial"/>
          </w:rPr>
          <w:t>),</w:t>
        </w:r>
      </w:hyperlink>
      <w:r w:rsidRPr="001B3304">
        <w:rPr>
          <w:rFonts w:ascii="Arial" w:hAnsi="Arial" w:cs="Arial"/>
          <w:color w:val="000000"/>
        </w:rPr>
        <w:t xml:space="preserve"> </w:t>
      </w:r>
      <w:r w:rsidR="006B4A57" w:rsidRPr="001B3304">
        <w:rPr>
          <w:rFonts w:ascii="Arial" w:hAnsi="Arial" w:cs="Arial"/>
          <w:color w:val="000000"/>
        </w:rPr>
        <w:t xml:space="preserve">it is an offence to fail to provide a legal duty to provide the necessaries of life where the person to whom the duty is owed is in destitute or necessitous circumstances. </w:t>
      </w:r>
    </w:p>
    <w:p w14:paraId="0A0FB0FF" w14:textId="77777777" w:rsidR="003D18C5" w:rsidRPr="001B3304" w:rsidRDefault="003D18C5" w:rsidP="006B4A57">
      <w:pPr>
        <w:spacing w:line="276" w:lineRule="auto"/>
        <w:jc w:val="both"/>
        <w:rPr>
          <w:rFonts w:ascii="Arial" w:hAnsi="Arial" w:cs="Arial"/>
          <w:color w:val="000000"/>
        </w:rPr>
      </w:pPr>
    </w:p>
    <w:p w14:paraId="5AC74398" w14:textId="5085585C" w:rsidR="003621BE" w:rsidRPr="001B3304" w:rsidRDefault="003D18C5" w:rsidP="003D18C5">
      <w:pPr>
        <w:pStyle w:val="NoSpacing"/>
        <w:rPr>
          <w:color w:val="000000"/>
          <w:szCs w:val="24"/>
        </w:rPr>
      </w:pPr>
      <w:r w:rsidRPr="001B3304">
        <w:rPr>
          <w:szCs w:val="24"/>
        </w:rPr>
        <w:t>Foreseeable risk of harm is</w:t>
      </w:r>
      <w:r w:rsidR="00D15C87" w:rsidRPr="001B3304">
        <w:rPr>
          <w:szCs w:val="24"/>
        </w:rPr>
        <w:t xml:space="preserve"> </w:t>
      </w:r>
      <w:r w:rsidRPr="001B3304">
        <w:rPr>
          <w:szCs w:val="24"/>
        </w:rPr>
        <w:t xml:space="preserve">integral to the fault requirement for the offences created by s. 215(2)(a): </w:t>
      </w:r>
      <w:r w:rsidR="006B4A57" w:rsidRPr="001B3304">
        <w:rPr>
          <w:i/>
          <w:iCs/>
          <w:color w:val="000000"/>
          <w:szCs w:val="24"/>
        </w:rPr>
        <w:t xml:space="preserve">R v CO, </w:t>
      </w:r>
      <w:hyperlink r:id="rId44" w:history="1">
        <w:r w:rsidR="006B4A57" w:rsidRPr="001B3304">
          <w:rPr>
            <w:rStyle w:val="Hyperlink"/>
            <w:szCs w:val="24"/>
          </w:rPr>
          <w:t>2022 ONCA 103</w:t>
        </w:r>
      </w:hyperlink>
      <w:r w:rsidR="006B4A57" w:rsidRPr="001B3304">
        <w:rPr>
          <w:color w:val="000000"/>
          <w:szCs w:val="24"/>
        </w:rPr>
        <w:t>, at para</w:t>
      </w:r>
      <w:r w:rsidRPr="001B3304">
        <w:rPr>
          <w:color w:val="000000"/>
          <w:szCs w:val="24"/>
        </w:rPr>
        <w:t>s</w:t>
      </w:r>
      <w:r w:rsidR="006B4A57" w:rsidRPr="001B3304">
        <w:rPr>
          <w:color w:val="000000"/>
          <w:szCs w:val="24"/>
        </w:rPr>
        <w:t xml:space="preserve"> 41</w:t>
      </w:r>
      <w:r w:rsidRPr="001B3304">
        <w:rPr>
          <w:color w:val="000000"/>
          <w:szCs w:val="24"/>
        </w:rPr>
        <w:t>, 64-65</w:t>
      </w:r>
    </w:p>
    <w:p w14:paraId="269B94F8" w14:textId="39AEB5E0" w:rsidR="00FE22E7" w:rsidRPr="001B3304" w:rsidRDefault="00FE22E7" w:rsidP="003D18C5">
      <w:pPr>
        <w:pStyle w:val="NoSpacing"/>
        <w:rPr>
          <w:color w:val="000000"/>
          <w:szCs w:val="24"/>
        </w:rPr>
      </w:pPr>
    </w:p>
    <w:p w14:paraId="5A6CCEE3" w14:textId="26A66042" w:rsidR="00FE22E7" w:rsidRPr="001B3304" w:rsidRDefault="00FE22E7" w:rsidP="00FE22E7">
      <w:pPr>
        <w:pStyle w:val="NoSpacing"/>
        <w:rPr>
          <w:szCs w:val="24"/>
        </w:rPr>
      </w:pPr>
      <w:r w:rsidRPr="001B3304">
        <w:rPr>
          <w:szCs w:val="24"/>
        </w:rPr>
        <w:t xml:space="preserve">The </w:t>
      </w:r>
      <w:proofErr w:type="spellStart"/>
      <w:r w:rsidRPr="001B3304">
        <w:rPr>
          <w:szCs w:val="24"/>
        </w:rPr>
        <w:t>mens</w:t>
      </w:r>
      <w:proofErr w:type="spellEnd"/>
      <w:r w:rsidRPr="001B3304">
        <w:rPr>
          <w:szCs w:val="24"/>
        </w:rPr>
        <w:t xml:space="preserve"> rea can be analyzed by asking two questions: (1)  whether, in light of all the relevant evidence, a reasonable person would have foreseen the risk and taken steps to avoid it if possible; and (2) If so, whether the accused’s failure to foresee the risk and take steps to avoid it, if possible, was a marked departure from the standard of care expected of a reasonable person in the accused’s circumstances: </w:t>
      </w:r>
      <w:r w:rsidRPr="001B3304">
        <w:rPr>
          <w:i/>
          <w:iCs/>
          <w:szCs w:val="24"/>
        </w:rPr>
        <w:t xml:space="preserve">R v Goforth, </w:t>
      </w:r>
      <w:hyperlink r:id="rId45" w:history="1">
        <w:r w:rsidRPr="001B3304">
          <w:rPr>
            <w:rStyle w:val="Hyperlink"/>
            <w:szCs w:val="24"/>
          </w:rPr>
          <w:t>2022 SCC 25</w:t>
        </w:r>
      </w:hyperlink>
      <w:r w:rsidRPr="001B3304">
        <w:rPr>
          <w:szCs w:val="24"/>
        </w:rPr>
        <w:t xml:space="preserve">, at para 28 </w:t>
      </w:r>
    </w:p>
    <w:p w14:paraId="48B48EC2" w14:textId="0C76C522" w:rsidR="004358F8" w:rsidRPr="001B3304" w:rsidRDefault="004358F8" w:rsidP="004358F8">
      <w:pPr>
        <w:pStyle w:val="Heading3"/>
      </w:pPr>
      <w:bookmarkStart w:id="50" w:name="_Toc134294090"/>
      <w:r w:rsidRPr="001B3304">
        <w:t xml:space="preserve">Section </w:t>
      </w:r>
      <w:hyperlink r:id="rId46" w:anchor="h-119680" w:history="1">
        <w:r w:rsidRPr="001B3304">
          <w:rPr>
            <w:rStyle w:val="Hyperlink"/>
          </w:rPr>
          <w:t>215(2)(b)</w:t>
        </w:r>
        <w:bookmarkEnd w:id="50"/>
      </w:hyperlink>
    </w:p>
    <w:p w14:paraId="2EF69EEA" w14:textId="463B43A9" w:rsidR="004358F8" w:rsidRPr="001B3304" w:rsidRDefault="004358F8" w:rsidP="003D18C5">
      <w:pPr>
        <w:pStyle w:val="NoSpacing"/>
        <w:rPr>
          <w:color w:val="000000"/>
          <w:szCs w:val="24"/>
        </w:rPr>
      </w:pPr>
    </w:p>
    <w:p w14:paraId="3DA2A678" w14:textId="6E624F8E" w:rsidR="004358F8" w:rsidRPr="001B3304" w:rsidRDefault="004358F8" w:rsidP="004358F8">
      <w:pPr>
        <w:pStyle w:val="NoSpacing"/>
        <w:rPr>
          <w:szCs w:val="24"/>
        </w:rPr>
      </w:pPr>
      <w:r w:rsidRPr="001B3304">
        <w:rPr>
          <w:szCs w:val="24"/>
        </w:rPr>
        <w:t xml:space="preserve">The offence created by </w:t>
      </w:r>
      <w:hyperlink r:id="rId47" w:anchor="h-119680" w:history="1">
        <w:r w:rsidRPr="001B3304">
          <w:rPr>
            <w:rStyle w:val="Hyperlink"/>
            <w:szCs w:val="24"/>
          </w:rPr>
          <w:t>s. 215(2)(b</w:t>
        </w:r>
      </w:hyperlink>
      <w:r w:rsidRPr="001B3304">
        <w:rPr>
          <w:szCs w:val="24"/>
        </w:rPr>
        <w:t>) has four essential elements. The Crown was required to prove:</w:t>
      </w:r>
    </w:p>
    <w:p w14:paraId="23D927B5" w14:textId="285762A0" w:rsidR="004358F8" w:rsidRPr="001B3304" w:rsidRDefault="004358F8">
      <w:pPr>
        <w:pStyle w:val="NoSpacing"/>
        <w:numPr>
          <w:ilvl w:val="0"/>
          <w:numId w:val="53"/>
        </w:numPr>
        <w:rPr>
          <w:szCs w:val="24"/>
        </w:rPr>
      </w:pPr>
      <w:r w:rsidRPr="001B3304">
        <w:rPr>
          <w:szCs w:val="24"/>
        </w:rPr>
        <w:t>The accused was under the legal duty created by s. 215(1) to provide the necessaries of life;</w:t>
      </w:r>
    </w:p>
    <w:p w14:paraId="5CD503A0" w14:textId="4557376C" w:rsidR="004358F8" w:rsidRPr="001B3304" w:rsidRDefault="004358F8">
      <w:pPr>
        <w:pStyle w:val="NoSpacing"/>
        <w:numPr>
          <w:ilvl w:val="0"/>
          <w:numId w:val="53"/>
        </w:numPr>
        <w:rPr>
          <w:szCs w:val="24"/>
        </w:rPr>
      </w:pPr>
      <w:r w:rsidRPr="001B3304">
        <w:rPr>
          <w:szCs w:val="24"/>
        </w:rPr>
        <w:t>The accused failed to provide the necessaries of life;</w:t>
      </w:r>
    </w:p>
    <w:p w14:paraId="72F8E5CB" w14:textId="7435500A" w:rsidR="004358F8" w:rsidRPr="001B3304" w:rsidRDefault="004358F8">
      <w:pPr>
        <w:pStyle w:val="NoSpacing"/>
        <w:numPr>
          <w:ilvl w:val="0"/>
          <w:numId w:val="53"/>
        </w:numPr>
        <w:rPr>
          <w:szCs w:val="24"/>
        </w:rPr>
      </w:pPr>
      <w:r w:rsidRPr="001B3304">
        <w:rPr>
          <w:szCs w:val="24"/>
        </w:rPr>
        <w:t>The failure to provide the necessaries of life endangered the victim’s life</w:t>
      </w:r>
      <w:r w:rsidR="00FE22E7" w:rsidRPr="001B3304">
        <w:rPr>
          <w:szCs w:val="24"/>
        </w:rPr>
        <w:t xml:space="preserve"> or is likely to cause their health to be endangered permanently</w:t>
      </w:r>
      <w:r w:rsidRPr="001B3304">
        <w:rPr>
          <w:szCs w:val="24"/>
        </w:rPr>
        <w:t>; and</w:t>
      </w:r>
    </w:p>
    <w:p w14:paraId="51948053" w14:textId="79DC307D" w:rsidR="004358F8" w:rsidRPr="001B3304" w:rsidRDefault="004358F8">
      <w:pPr>
        <w:pStyle w:val="NoSpacing"/>
        <w:numPr>
          <w:ilvl w:val="0"/>
          <w:numId w:val="53"/>
        </w:numPr>
        <w:rPr>
          <w:szCs w:val="24"/>
        </w:rPr>
      </w:pPr>
      <w:r w:rsidRPr="001B3304">
        <w:rPr>
          <w:szCs w:val="24"/>
        </w:rPr>
        <w:t xml:space="preserve">The conduct of the accused represented a marked departure from the conduct of a reasonable </w:t>
      </w:r>
      <w:r w:rsidR="00FE22E7" w:rsidRPr="001B3304">
        <w:rPr>
          <w:szCs w:val="24"/>
        </w:rPr>
        <w:t>person</w:t>
      </w:r>
      <w:r w:rsidRPr="001B3304">
        <w:rPr>
          <w:szCs w:val="24"/>
        </w:rPr>
        <w:t xml:space="preserve"> in circumstances where it was objectively foreseeable that the failure to provide </w:t>
      </w:r>
      <w:r w:rsidR="00FE22E7" w:rsidRPr="001B3304">
        <w:rPr>
          <w:szCs w:val="24"/>
        </w:rPr>
        <w:t>the legal duty</w:t>
      </w:r>
      <w:r w:rsidRPr="001B3304">
        <w:rPr>
          <w:szCs w:val="24"/>
        </w:rPr>
        <w:t xml:space="preserve"> to the victim endangered their life</w:t>
      </w:r>
      <w:r w:rsidR="00FE22E7" w:rsidRPr="001B3304">
        <w:rPr>
          <w:szCs w:val="24"/>
        </w:rPr>
        <w:t xml:space="preserve"> or their health permanently</w:t>
      </w:r>
      <w:r w:rsidRPr="001B3304">
        <w:rPr>
          <w:szCs w:val="24"/>
        </w:rPr>
        <w:t xml:space="preserve">: </w:t>
      </w:r>
      <w:r w:rsidRPr="001B3304">
        <w:rPr>
          <w:i/>
          <w:iCs/>
          <w:szCs w:val="24"/>
        </w:rPr>
        <w:t xml:space="preserve">R v Doering, </w:t>
      </w:r>
      <w:hyperlink r:id="rId48" w:history="1">
        <w:r w:rsidRPr="001B3304">
          <w:rPr>
            <w:rStyle w:val="Hyperlink"/>
            <w:szCs w:val="24"/>
          </w:rPr>
          <w:t>2022 ONCA 559</w:t>
        </w:r>
      </w:hyperlink>
      <w:r w:rsidRPr="001B3304">
        <w:rPr>
          <w:szCs w:val="24"/>
        </w:rPr>
        <w:t xml:space="preserve">, at para 38 </w:t>
      </w:r>
    </w:p>
    <w:p w14:paraId="6A9F7D43" w14:textId="77777777" w:rsidR="004358F8" w:rsidRPr="001B3304" w:rsidRDefault="004358F8" w:rsidP="003D18C5">
      <w:pPr>
        <w:pStyle w:val="NoSpacing"/>
        <w:rPr>
          <w:szCs w:val="24"/>
        </w:rPr>
      </w:pPr>
    </w:p>
    <w:p w14:paraId="11A024DB" w14:textId="137D1517" w:rsidR="006B4A57" w:rsidRPr="001B3304" w:rsidRDefault="006B4A57" w:rsidP="006B4A57">
      <w:pPr>
        <w:spacing w:line="276" w:lineRule="auto"/>
        <w:jc w:val="both"/>
        <w:rPr>
          <w:rFonts w:ascii="Arial" w:hAnsi="Arial" w:cs="Arial"/>
          <w:color w:val="000000"/>
        </w:rPr>
      </w:pPr>
    </w:p>
    <w:p w14:paraId="277DBCB3" w14:textId="77777777" w:rsidR="00FE22E7" w:rsidRPr="001B3304" w:rsidRDefault="00FE22E7" w:rsidP="00FE22E7">
      <w:pPr>
        <w:pStyle w:val="NoSpacing"/>
        <w:rPr>
          <w:szCs w:val="24"/>
        </w:rPr>
      </w:pPr>
      <w:r w:rsidRPr="001B3304">
        <w:rPr>
          <w:szCs w:val="24"/>
        </w:rPr>
        <w:t xml:space="preserve">The </w:t>
      </w:r>
      <w:proofErr w:type="spellStart"/>
      <w:r w:rsidRPr="001B3304">
        <w:rPr>
          <w:szCs w:val="24"/>
        </w:rPr>
        <w:t>mens</w:t>
      </w:r>
      <w:proofErr w:type="spellEnd"/>
      <w:r w:rsidRPr="001B3304">
        <w:rPr>
          <w:szCs w:val="24"/>
        </w:rPr>
        <w:t xml:space="preserve"> rea can be analyzed by asking two questions: (1)  whether, in light of all the relevant evidence, a reasonable person would have foreseen the risk and taken steps to avoid it if possible; and (2) If so, whether the accused’s failure to foresee the risk and take steps to avoid it, if possible, was a marked departure from the standard of care expected of a reasonable person in the accused’s circumstances: </w:t>
      </w:r>
      <w:r w:rsidRPr="001B3304">
        <w:rPr>
          <w:i/>
          <w:iCs/>
          <w:szCs w:val="24"/>
        </w:rPr>
        <w:t xml:space="preserve">R v Goforth, </w:t>
      </w:r>
      <w:hyperlink r:id="rId49" w:history="1">
        <w:r w:rsidRPr="001B3304">
          <w:rPr>
            <w:rStyle w:val="Hyperlink"/>
            <w:szCs w:val="24"/>
          </w:rPr>
          <w:t>2022 SCC 25</w:t>
        </w:r>
      </w:hyperlink>
      <w:r w:rsidRPr="001B3304">
        <w:rPr>
          <w:szCs w:val="24"/>
        </w:rPr>
        <w:t xml:space="preserve">, at para 28 </w:t>
      </w:r>
    </w:p>
    <w:p w14:paraId="409ECF26" w14:textId="77777777" w:rsidR="00FE22E7" w:rsidRPr="001B3304" w:rsidRDefault="00FE22E7" w:rsidP="006B4A57">
      <w:pPr>
        <w:spacing w:line="276" w:lineRule="auto"/>
        <w:jc w:val="both"/>
        <w:rPr>
          <w:rFonts w:ascii="Arial" w:hAnsi="Arial" w:cs="Arial"/>
          <w:color w:val="000000"/>
        </w:rPr>
      </w:pPr>
    </w:p>
    <w:p w14:paraId="63200ACA" w14:textId="5F4AD9A6" w:rsidR="004358F8" w:rsidRPr="001B3304" w:rsidRDefault="004358F8" w:rsidP="006B4A57">
      <w:pPr>
        <w:spacing w:line="276" w:lineRule="auto"/>
        <w:jc w:val="both"/>
        <w:rPr>
          <w:rFonts w:ascii="Arial" w:hAnsi="Arial" w:cs="Arial"/>
          <w:color w:val="000000"/>
        </w:rPr>
      </w:pPr>
      <w:r w:rsidRPr="001B3304">
        <w:rPr>
          <w:rFonts w:ascii="Arial" w:hAnsi="Arial" w:cs="Arial"/>
          <w:color w:val="000000"/>
        </w:rPr>
        <w:lastRenderedPageBreak/>
        <w:t xml:space="preserve">The increased risk of death constitutes an endangerment of the victim’s life within the meaning of s. 215(2)(b): </w:t>
      </w:r>
      <w:r w:rsidRPr="001B3304">
        <w:rPr>
          <w:rFonts w:ascii="Arial" w:hAnsi="Arial" w:cs="Arial"/>
          <w:i/>
          <w:iCs/>
          <w:color w:val="000000"/>
        </w:rPr>
        <w:t xml:space="preserve">Doering, </w:t>
      </w:r>
      <w:r w:rsidRPr="001B3304">
        <w:rPr>
          <w:rFonts w:ascii="Arial" w:hAnsi="Arial" w:cs="Arial"/>
          <w:color w:val="000000"/>
        </w:rPr>
        <w:t>at para 46</w:t>
      </w:r>
    </w:p>
    <w:p w14:paraId="7ADFD993" w14:textId="18374957" w:rsidR="00DA4770" w:rsidRPr="001B3304" w:rsidRDefault="00DA4770" w:rsidP="00DA4770">
      <w:pPr>
        <w:pStyle w:val="NoSpacing"/>
        <w:rPr>
          <w:szCs w:val="24"/>
        </w:rPr>
      </w:pPr>
    </w:p>
    <w:p w14:paraId="1C054A67" w14:textId="57EC0228" w:rsidR="00DA4770" w:rsidRPr="001B3304" w:rsidRDefault="00DA4770" w:rsidP="00DA4770">
      <w:pPr>
        <w:pStyle w:val="NoSpacing"/>
        <w:rPr>
          <w:szCs w:val="24"/>
        </w:rPr>
      </w:pPr>
      <w:r w:rsidRPr="001B3304">
        <w:rPr>
          <w:szCs w:val="24"/>
        </w:rPr>
        <w:t xml:space="preserve">The accused’s belief as to what was necessary and whether risk would arise is relevant to, but not determinative of, both whether his conduct constituted a marked departure, and whether a reasonable person in their shoes would have been aware of the risk to the victim’s wellbeing: </w:t>
      </w:r>
      <w:r w:rsidRPr="001B3304">
        <w:rPr>
          <w:i/>
          <w:iCs/>
          <w:szCs w:val="24"/>
        </w:rPr>
        <w:t xml:space="preserve"> Doering, </w:t>
      </w:r>
      <w:r w:rsidRPr="001B3304">
        <w:rPr>
          <w:szCs w:val="24"/>
        </w:rPr>
        <w:t>at paras 64, 77</w:t>
      </w:r>
    </w:p>
    <w:p w14:paraId="607FBC75" w14:textId="1F6DBCBB" w:rsidR="00DA4770" w:rsidRPr="001B3304" w:rsidRDefault="00DA4770" w:rsidP="00DA4770">
      <w:pPr>
        <w:pStyle w:val="NoSpacing"/>
        <w:rPr>
          <w:szCs w:val="24"/>
        </w:rPr>
      </w:pPr>
    </w:p>
    <w:p w14:paraId="4FEE1ECF" w14:textId="34D09A54" w:rsidR="00DA4770" w:rsidRPr="001B3304" w:rsidRDefault="00DA4770" w:rsidP="00DA4770">
      <w:pPr>
        <w:pStyle w:val="NoSpacing"/>
        <w:rPr>
          <w:szCs w:val="24"/>
        </w:rPr>
      </w:pPr>
      <w:r w:rsidRPr="001B3304">
        <w:rPr>
          <w:rFonts w:eastAsia="Times New Roman"/>
          <w:color w:val="000000"/>
          <w:szCs w:val="24"/>
          <w:bdr w:val="none" w:sz="0" w:space="0" w:color="auto"/>
          <w:lang w:val="en-CA"/>
        </w:rPr>
        <w:t xml:space="preserve">However, the fault component should not be personalized to reflect the accused’s own experiences as the offence seeks to impose a common minimum behavioural standards: </w:t>
      </w:r>
      <w:r w:rsidRPr="001B3304">
        <w:rPr>
          <w:rFonts w:eastAsia="Times New Roman"/>
          <w:i/>
          <w:iCs/>
          <w:color w:val="000000"/>
          <w:szCs w:val="24"/>
          <w:bdr w:val="none" w:sz="0" w:space="0" w:color="auto"/>
          <w:lang w:val="en-CA"/>
        </w:rPr>
        <w:t xml:space="preserve">Doering </w:t>
      </w:r>
      <w:r w:rsidRPr="001B3304">
        <w:rPr>
          <w:rFonts w:eastAsia="Times New Roman"/>
          <w:color w:val="000000"/>
          <w:szCs w:val="24"/>
          <w:bdr w:val="none" w:sz="0" w:space="0" w:color="auto"/>
          <w:lang w:val="en-CA"/>
        </w:rPr>
        <w:t>at paras 72-76; but see para 77</w:t>
      </w:r>
    </w:p>
    <w:p w14:paraId="46526EC7" w14:textId="77777777" w:rsidR="00DA4770" w:rsidRPr="001B3304" w:rsidRDefault="00DA4770" w:rsidP="00DA4770">
      <w:pPr>
        <w:pStyle w:val="NoSpacing"/>
        <w:rPr>
          <w:szCs w:val="24"/>
        </w:rPr>
      </w:pPr>
    </w:p>
    <w:p w14:paraId="3F75A1BA" w14:textId="5BD5235A" w:rsidR="00D15C87" w:rsidRPr="001B3304" w:rsidRDefault="004358F8">
      <w:pPr>
        <w:pStyle w:val="Heading3"/>
        <w:numPr>
          <w:ilvl w:val="0"/>
          <w:numId w:val="52"/>
        </w:numPr>
      </w:pPr>
      <w:bookmarkStart w:id="51" w:name="_Toc134294091"/>
      <w:r w:rsidRPr="001B3304">
        <w:t xml:space="preserve">Harm and Necessaries - </w:t>
      </w:r>
      <w:r w:rsidR="00D15C87" w:rsidRPr="001B3304">
        <w:t>In respect of Ch</w:t>
      </w:r>
      <w:r w:rsidRPr="001B3304">
        <w:t>i</w:t>
      </w:r>
      <w:r w:rsidR="00D15C87" w:rsidRPr="001B3304">
        <w:t>ldren</w:t>
      </w:r>
      <w:bookmarkEnd w:id="51"/>
      <w:r w:rsidR="00D15C87" w:rsidRPr="001B3304">
        <w:t xml:space="preserve"> </w:t>
      </w:r>
    </w:p>
    <w:p w14:paraId="70A60C90" w14:textId="77777777" w:rsidR="00D15C87" w:rsidRPr="001B3304" w:rsidRDefault="00D15C87" w:rsidP="006B4A57">
      <w:pPr>
        <w:pStyle w:val="NoSpacing"/>
        <w:rPr>
          <w:szCs w:val="24"/>
        </w:rPr>
      </w:pPr>
    </w:p>
    <w:p w14:paraId="54AE5D38" w14:textId="53AEB6C2" w:rsidR="006B4A57" w:rsidRPr="001B3304" w:rsidRDefault="006B4A57" w:rsidP="006B4A57">
      <w:pPr>
        <w:pStyle w:val="NoSpacing"/>
        <w:rPr>
          <w:szCs w:val="24"/>
        </w:rPr>
      </w:pPr>
      <w:r w:rsidRPr="001B3304">
        <w:rPr>
          <w:szCs w:val="24"/>
        </w:rPr>
        <w:t xml:space="preserve">“Necessaries of life” capture those things which are integral to the health and safety of the child. Some specifics, like food, are self-evidently “necessaries of life”. Other things, like protection of children from physical harm, are also necessaries of life, but their meaning is situation specific. A necessary is something which, if not provided by the parent, will result in harm to the child’s health or safety. Protection of a child from harm is itself a necessary of life.   Defining the phrase “necessaries of life” by reference to those things necessary to protect a child from harm to the child’s health or safety must include protection from risk of that harm: </w:t>
      </w:r>
      <w:r w:rsidRPr="001B3304">
        <w:rPr>
          <w:i/>
          <w:iCs/>
          <w:szCs w:val="24"/>
        </w:rPr>
        <w:t>CO</w:t>
      </w:r>
      <w:r w:rsidRPr="001B3304">
        <w:rPr>
          <w:szCs w:val="24"/>
        </w:rPr>
        <w:t xml:space="preserve"> at paras 49-50</w:t>
      </w:r>
    </w:p>
    <w:p w14:paraId="59D3E54D" w14:textId="31109530" w:rsidR="006B4A57" w:rsidRPr="001B3304" w:rsidRDefault="006B4A57" w:rsidP="006B4A57">
      <w:pPr>
        <w:pStyle w:val="NoSpacing"/>
        <w:rPr>
          <w:szCs w:val="24"/>
        </w:rPr>
      </w:pPr>
    </w:p>
    <w:p w14:paraId="1B6EC21F" w14:textId="069C7206" w:rsidR="006B4A57" w:rsidRPr="001B3304" w:rsidRDefault="006B4A57" w:rsidP="006B4A57">
      <w:pPr>
        <w:pStyle w:val="NoSpacing"/>
        <w:rPr>
          <w:szCs w:val="24"/>
        </w:rPr>
      </w:pPr>
      <w:r w:rsidRPr="001B3304">
        <w:rPr>
          <w:szCs w:val="24"/>
        </w:rPr>
        <w:t>The harm in question must be reasonably foreseeable in the circumstances. The harm must also relate to the child’s ongoing health and safety, and not merely the child’s comfort or wellbeing. The duty imposed by s. 215(1)(a) is not to be the ideal parent. If the foreseeable harm to the child is minor and transitory, a failure to protect against that harm will not constitute a failure to provide the necessaries of life.</w:t>
      </w:r>
    </w:p>
    <w:p w14:paraId="3ACEFE1D" w14:textId="31F75F46" w:rsidR="00FB5FF5" w:rsidRPr="001B3304" w:rsidRDefault="00FB5FF5" w:rsidP="006B4A57">
      <w:pPr>
        <w:pStyle w:val="NoSpacing"/>
        <w:rPr>
          <w:szCs w:val="24"/>
        </w:rPr>
      </w:pPr>
    </w:p>
    <w:p w14:paraId="3C30FB89" w14:textId="6A963E35" w:rsidR="00FB5FF5" w:rsidRPr="001B3304" w:rsidRDefault="00FB5FF5" w:rsidP="00FB5FF5">
      <w:pPr>
        <w:pStyle w:val="NoSpacing"/>
        <w:rPr>
          <w:szCs w:val="24"/>
        </w:rPr>
      </w:pPr>
      <w:r w:rsidRPr="001B3304">
        <w:rPr>
          <w:szCs w:val="24"/>
        </w:rPr>
        <w:t xml:space="preserve">The words “destitute or necessitous” means more than a child who has not been provided with the necessaries of life. Given that neither offence in s. 215(2) makes it a crime to fail to provide the necessaries of life without more, the duty of the parent to provide the necessaries of life must be addressed separately from the further requirement that the child be in “destitute or necessitous circumstances”. If the failure to provide the alleged necessary harms the child’s health or safety, or puts the child’s health or safety at risk, it can be said the child is in need of </w:t>
      </w:r>
      <w:r w:rsidRPr="001B3304">
        <w:rPr>
          <w:szCs w:val="24"/>
        </w:rPr>
        <w:lastRenderedPageBreak/>
        <w:t>protection from that harm, and therefore in “destitute or necessitous circumstances.”</w:t>
      </w:r>
    </w:p>
    <w:p w14:paraId="20DD6194" w14:textId="77777777" w:rsidR="00FB5FF5" w:rsidRPr="001B3304" w:rsidRDefault="00FB5FF5" w:rsidP="00FB5FF5">
      <w:pPr>
        <w:pStyle w:val="NoSpacing"/>
        <w:rPr>
          <w:szCs w:val="24"/>
        </w:rPr>
      </w:pPr>
    </w:p>
    <w:p w14:paraId="289D4BD7" w14:textId="2D3CD338" w:rsidR="006B4A57" w:rsidRPr="001B3304" w:rsidRDefault="00FB5FF5" w:rsidP="00FB5FF5">
      <w:pPr>
        <w:pStyle w:val="NoSpacing"/>
        <w:rPr>
          <w:szCs w:val="24"/>
        </w:rPr>
      </w:pPr>
      <w:r w:rsidRPr="001B3304">
        <w:rPr>
          <w:szCs w:val="24"/>
        </w:rPr>
        <w:t xml:space="preserve">It is likely that, in most cases, a child who is not provided with a necessary of life will be in necessitous circumstances. There may, however, be situations in which a parent has failed to provide a necessary, but that failure has not resulted in the child being harmed or facing the risk of harm: </w:t>
      </w:r>
      <w:r w:rsidRPr="001B3304">
        <w:rPr>
          <w:i/>
          <w:iCs/>
          <w:szCs w:val="24"/>
        </w:rPr>
        <w:t xml:space="preserve">R v CO, </w:t>
      </w:r>
      <w:hyperlink r:id="rId50" w:history="1">
        <w:r w:rsidRPr="001B3304">
          <w:rPr>
            <w:rStyle w:val="Hyperlink"/>
            <w:szCs w:val="24"/>
          </w:rPr>
          <w:t>2022 ONCA 103</w:t>
        </w:r>
      </w:hyperlink>
      <w:r w:rsidRPr="001B3304">
        <w:rPr>
          <w:szCs w:val="24"/>
        </w:rPr>
        <w:t>, at paras 52-55</w:t>
      </w:r>
    </w:p>
    <w:p w14:paraId="117FDC32" w14:textId="712F1D43" w:rsidR="00D15C87" w:rsidRPr="001B3304" w:rsidRDefault="00D15C87" w:rsidP="00FB5FF5">
      <w:pPr>
        <w:pStyle w:val="NoSpacing"/>
        <w:rPr>
          <w:szCs w:val="24"/>
        </w:rPr>
      </w:pPr>
    </w:p>
    <w:p w14:paraId="37828EE6" w14:textId="368B181B" w:rsidR="00D15C87" w:rsidRPr="001B3304" w:rsidRDefault="00D15C87" w:rsidP="004358F8">
      <w:pPr>
        <w:pStyle w:val="Heading3"/>
      </w:pPr>
      <w:bookmarkStart w:id="52" w:name="_Toc134294092"/>
      <w:r w:rsidRPr="001B3304">
        <w:t>In respect of Accused in Police Custody</w:t>
      </w:r>
      <w:bookmarkEnd w:id="52"/>
      <w:r w:rsidRPr="001B3304">
        <w:t xml:space="preserve"> </w:t>
      </w:r>
    </w:p>
    <w:p w14:paraId="284FBF04" w14:textId="1128A0B9" w:rsidR="00457CBD" w:rsidRPr="001B3304" w:rsidRDefault="00457CBD" w:rsidP="003E1822">
      <w:pPr>
        <w:spacing w:line="276" w:lineRule="auto"/>
        <w:rPr>
          <w:rFonts w:ascii="Arial" w:hAnsi="Arial" w:cs="Arial"/>
        </w:rPr>
      </w:pPr>
    </w:p>
    <w:p w14:paraId="5EAA95AC" w14:textId="1ABA27C3" w:rsidR="00D15C87" w:rsidRPr="001B3304" w:rsidRDefault="004358F8" w:rsidP="004358F8">
      <w:pPr>
        <w:pStyle w:val="NoSpacing"/>
        <w:rPr>
          <w:szCs w:val="24"/>
        </w:rPr>
      </w:pPr>
      <w:r w:rsidRPr="001B3304">
        <w:rPr>
          <w:szCs w:val="24"/>
        </w:rPr>
        <w:t>Section</w:t>
      </w:r>
      <w:r w:rsidR="00D15C87" w:rsidRPr="001B3304">
        <w:rPr>
          <w:szCs w:val="24"/>
        </w:rPr>
        <w:t xml:space="preserve"> 215(1)(c) places a legal obligation on police officers to protect persons in their custody by providing them with the “necessaries of life”. That phrase is not defined in the </w:t>
      </w:r>
      <w:r w:rsidR="00D15C87" w:rsidRPr="001B3304">
        <w:rPr>
          <w:i/>
          <w:iCs/>
          <w:szCs w:val="24"/>
        </w:rPr>
        <w:t>Criminal Code</w:t>
      </w:r>
      <w:r w:rsidR="00D15C87" w:rsidRPr="001B3304">
        <w:rPr>
          <w:szCs w:val="24"/>
        </w:rPr>
        <w:t>. Case law has defined the term as meaning those things needed to protect the health and safety of prisoners from harm or the risk of harm. Medical attention that is necessary to protect a prisoner’s health or safety from harm or risk of harm is a necessary of life. In this context, harm, or risk of harm, refers to harm, or risk of harm, that is reasonably foreseeable and more than minor or transitory: </w:t>
      </w:r>
      <w:r w:rsidRPr="001B3304">
        <w:rPr>
          <w:i/>
          <w:iCs/>
          <w:szCs w:val="24"/>
        </w:rPr>
        <w:t xml:space="preserve">R v Doering, </w:t>
      </w:r>
      <w:hyperlink r:id="rId51" w:history="1">
        <w:r w:rsidRPr="001B3304">
          <w:rPr>
            <w:rStyle w:val="Hyperlink"/>
            <w:szCs w:val="24"/>
          </w:rPr>
          <w:t>2022 ONCA 559</w:t>
        </w:r>
      </w:hyperlink>
      <w:r w:rsidRPr="001B3304">
        <w:rPr>
          <w:szCs w:val="24"/>
        </w:rPr>
        <w:t xml:space="preserve">, at para 37 </w:t>
      </w:r>
    </w:p>
    <w:p w14:paraId="7294252D" w14:textId="3863182C" w:rsidR="004358F8" w:rsidRPr="001B3304" w:rsidRDefault="004358F8" w:rsidP="004358F8">
      <w:pPr>
        <w:pStyle w:val="NoSpacing"/>
        <w:rPr>
          <w:szCs w:val="24"/>
        </w:rPr>
      </w:pPr>
    </w:p>
    <w:p w14:paraId="4CA32E52" w14:textId="688DE855" w:rsidR="004358F8" w:rsidRPr="001B3304" w:rsidRDefault="004358F8" w:rsidP="004358F8">
      <w:pPr>
        <w:pStyle w:val="Heading3"/>
      </w:pPr>
      <w:bookmarkStart w:id="53" w:name="_Toc134294093"/>
      <w:r w:rsidRPr="001B3304">
        <w:t>The Lawful Excuse</w:t>
      </w:r>
      <w:bookmarkEnd w:id="53"/>
    </w:p>
    <w:p w14:paraId="56A47C9D" w14:textId="2716FBCB" w:rsidR="00457CBD" w:rsidRPr="001B3304" w:rsidRDefault="00457CBD" w:rsidP="003E1822">
      <w:pPr>
        <w:spacing w:line="276" w:lineRule="auto"/>
        <w:rPr>
          <w:rFonts w:ascii="Arial" w:hAnsi="Arial" w:cs="Arial"/>
        </w:rPr>
      </w:pPr>
    </w:p>
    <w:p w14:paraId="37C65857" w14:textId="691DF4FD" w:rsidR="004358F8" w:rsidRPr="001B3304" w:rsidRDefault="004358F8" w:rsidP="004358F8">
      <w:pPr>
        <w:pStyle w:val="NoSpacing"/>
        <w:rPr>
          <w:szCs w:val="24"/>
        </w:rPr>
      </w:pPr>
      <w:r w:rsidRPr="001B3304">
        <w:rPr>
          <w:szCs w:val="24"/>
        </w:rPr>
        <w:t xml:space="preserve">Section 215(2) provides a “lawful excuse” </w:t>
      </w:r>
      <w:proofErr w:type="spellStart"/>
      <w:r w:rsidRPr="001B3304">
        <w:rPr>
          <w:szCs w:val="24"/>
        </w:rPr>
        <w:t>defence</w:t>
      </w:r>
      <w:proofErr w:type="spellEnd"/>
      <w:r w:rsidRPr="001B3304">
        <w:rPr>
          <w:szCs w:val="24"/>
        </w:rPr>
        <w:t xml:space="preserve"> to the offences created under s. 215(2). A “lawful excuse” refers to exculpatory circumstances or events which justify an acquittal even if the essential elements of the offence are established. For example,  a true financial inability to provide for a </w:t>
      </w:r>
      <w:proofErr w:type="spellStart"/>
      <w:r w:rsidRPr="001B3304">
        <w:rPr>
          <w:szCs w:val="24"/>
        </w:rPr>
        <w:t>dependant’s</w:t>
      </w:r>
      <w:proofErr w:type="spellEnd"/>
      <w:r w:rsidRPr="001B3304">
        <w:rPr>
          <w:szCs w:val="24"/>
        </w:rPr>
        <w:t xml:space="preserve"> needs may, in certain circumstances, constitute a “lawful excuse” </w:t>
      </w:r>
      <w:proofErr w:type="spellStart"/>
      <w:r w:rsidRPr="001B3304">
        <w:rPr>
          <w:szCs w:val="24"/>
        </w:rPr>
        <w:t>defence</w:t>
      </w:r>
      <w:proofErr w:type="spellEnd"/>
      <w:r w:rsidRPr="001B3304">
        <w:rPr>
          <w:szCs w:val="24"/>
        </w:rPr>
        <w:t xml:space="preserve"> to a charge of failing to provide the necessaries of life to that </w:t>
      </w:r>
      <w:proofErr w:type="spellStart"/>
      <w:r w:rsidRPr="001B3304">
        <w:rPr>
          <w:szCs w:val="24"/>
        </w:rPr>
        <w:t>dependant</w:t>
      </w:r>
      <w:proofErr w:type="spellEnd"/>
      <w:r w:rsidRPr="001B3304">
        <w:rPr>
          <w:szCs w:val="24"/>
        </w:rPr>
        <w:t>: </w:t>
      </w:r>
      <w:r w:rsidRPr="001B3304">
        <w:rPr>
          <w:i/>
          <w:iCs/>
          <w:szCs w:val="24"/>
        </w:rPr>
        <w:t xml:space="preserve">R v Doering, </w:t>
      </w:r>
      <w:hyperlink r:id="rId52" w:history="1">
        <w:r w:rsidRPr="001B3304">
          <w:rPr>
            <w:rStyle w:val="Hyperlink"/>
            <w:szCs w:val="24"/>
          </w:rPr>
          <w:t>2022 ONCA 559</w:t>
        </w:r>
      </w:hyperlink>
      <w:r w:rsidRPr="001B3304">
        <w:rPr>
          <w:szCs w:val="24"/>
        </w:rPr>
        <w:t>, at para 50</w:t>
      </w:r>
    </w:p>
    <w:p w14:paraId="3D4C8B31" w14:textId="54F97242" w:rsidR="004358F8" w:rsidRPr="001B3304" w:rsidRDefault="004358F8" w:rsidP="004358F8">
      <w:pPr>
        <w:pStyle w:val="NoSpacing"/>
        <w:rPr>
          <w:szCs w:val="24"/>
        </w:rPr>
      </w:pPr>
    </w:p>
    <w:p w14:paraId="28ADA884" w14:textId="50628519" w:rsidR="004358F8" w:rsidRPr="001B3304" w:rsidRDefault="004358F8" w:rsidP="00DA4770">
      <w:pPr>
        <w:spacing w:before="100" w:beforeAutospacing="1" w:after="100" w:afterAutospacing="1"/>
        <w:jc w:val="both"/>
        <w:rPr>
          <w:rFonts w:ascii="Arial" w:hAnsi="Arial" w:cs="Arial"/>
          <w:color w:val="000000"/>
        </w:rPr>
      </w:pPr>
      <w:r w:rsidRPr="001B3304">
        <w:rPr>
          <w:rFonts w:ascii="Arial" w:hAnsi="Arial" w:cs="Arial"/>
          <w:color w:val="000000"/>
        </w:rPr>
        <w:t xml:space="preserve">The scope of the “lawful excuse” defence in s. 215(c) must be interpreted having regard to the nature and purpose of the offences created in that section. The phrase “lawful excuse” cannot be given a meaning which effectively eliminates the liability created by s. 215(2). This would arise, for example, if the objective analysis is allowed to be defeated by the absence of subjective fault – which is not required in the offence: </w:t>
      </w:r>
      <w:r w:rsidRPr="001B3304">
        <w:rPr>
          <w:rFonts w:ascii="Arial" w:hAnsi="Arial" w:cs="Arial"/>
          <w:i/>
          <w:iCs/>
          <w:color w:val="000000"/>
        </w:rPr>
        <w:t xml:space="preserve">Doering </w:t>
      </w:r>
      <w:r w:rsidRPr="001B3304">
        <w:rPr>
          <w:rFonts w:ascii="Arial" w:hAnsi="Arial" w:cs="Arial"/>
          <w:color w:val="000000"/>
        </w:rPr>
        <w:t>at paras 52-53</w:t>
      </w:r>
    </w:p>
    <w:p w14:paraId="1B5F17CF" w14:textId="6B26DC84" w:rsidR="00547A26" w:rsidRPr="001B3304" w:rsidRDefault="00DD6403" w:rsidP="003E1822">
      <w:pPr>
        <w:pStyle w:val="Heading2"/>
        <w:spacing w:line="276" w:lineRule="auto"/>
      </w:pPr>
      <w:bookmarkStart w:id="54" w:name="_Toc134294094"/>
      <w:r w:rsidRPr="001B3304">
        <w:lastRenderedPageBreak/>
        <w:t>Criminal Negligence</w:t>
      </w:r>
      <w:r w:rsidR="00547A26" w:rsidRPr="001B3304">
        <w:t>: s.219</w:t>
      </w:r>
      <w:bookmarkEnd w:id="54"/>
    </w:p>
    <w:p w14:paraId="0332510D" w14:textId="77777777" w:rsidR="00547A26" w:rsidRPr="001B3304" w:rsidRDefault="00547A26" w:rsidP="003E1822">
      <w:pPr>
        <w:pStyle w:val="NoSpacing"/>
        <w:rPr>
          <w:szCs w:val="24"/>
        </w:rPr>
      </w:pPr>
    </w:p>
    <w:p w14:paraId="3C5C233C" w14:textId="32D7301F" w:rsidR="00547A26" w:rsidRPr="001B3304" w:rsidRDefault="00547A26" w:rsidP="003E1822">
      <w:pPr>
        <w:pStyle w:val="NoSpacing"/>
        <w:rPr>
          <w:szCs w:val="24"/>
        </w:rPr>
      </w:pPr>
      <w:r w:rsidRPr="001B3304">
        <w:rPr>
          <w:szCs w:val="24"/>
        </w:rPr>
        <w:t>The test for criminal negligence requires the Crown to show that an accused’s conduct or omission constituted a “marked and substantial departure” from the conduct of a reasonably prudent person in the circumstances</w:t>
      </w:r>
      <w:r w:rsidR="004C09FD" w:rsidRPr="001B3304">
        <w:rPr>
          <w:szCs w:val="24"/>
        </w:rPr>
        <w:t xml:space="preserve">: </w:t>
      </w:r>
      <w:r w:rsidR="004C09FD" w:rsidRPr="001B3304">
        <w:rPr>
          <w:i/>
          <w:iCs/>
          <w:szCs w:val="24"/>
        </w:rPr>
        <w:t xml:space="preserve">R v </w:t>
      </w:r>
      <w:proofErr w:type="spellStart"/>
      <w:r w:rsidR="004C09FD" w:rsidRPr="001B3304">
        <w:rPr>
          <w:i/>
          <w:iCs/>
          <w:szCs w:val="24"/>
        </w:rPr>
        <w:t>Javanmardi</w:t>
      </w:r>
      <w:proofErr w:type="spellEnd"/>
      <w:r w:rsidR="004C09FD" w:rsidRPr="001B3304">
        <w:rPr>
          <w:i/>
          <w:iCs/>
          <w:szCs w:val="24"/>
        </w:rPr>
        <w:t xml:space="preserve">, </w:t>
      </w:r>
      <w:r w:rsidR="004C09FD" w:rsidRPr="001B3304">
        <w:rPr>
          <w:szCs w:val="24"/>
        </w:rPr>
        <w:t>2019 SCC 54, at para 21</w:t>
      </w:r>
    </w:p>
    <w:p w14:paraId="67E81889" w14:textId="77777777" w:rsidR="00367B4F" w:rsidRPr="001B3304" w:rsidRDefault="00367B4F" w:rsidP="003E1822">
      <w:pPr>
        <w:pStyle w:val="NoSpacing"/>
        <w:rPr>
          <w:szCs w:val="24"/>
        </w:rPr>
      </w:pPr>
    </w:p>
    <w:p w14:paraId="35C08187" w14:textId="77777777" w:rsidR="00547A26" w:rsidRPr="001B3304" w:rsidRDefault="00547A26" w:rsidP="003E1822">
      <w:pPr>
        <w:pStyle w:val="NoSpacing"/>
        <w:rPr>
          <w:szCs w:val="24"/>
        </w:rPr>
      </w:pPr>
      <w:r w:rsidRPr="001B3304">
        <w:rPr>
          <w:szCs w:val="24"/>
        </w:rPr>
        <w:t>​</w:t>
      </w:r>
    </w:p>
    <w:p w14:paraId="565D4B72" w14:textId="77C78704" w:rsidR="00547A26" w:rsidRPr="001B3304" w:rsidRDefault="00547A26" w:rsidP="003E1822">
      <w:pPr>
        <w:pStyle w:val="NoSpacing"/>
        <w:rPr>
          <w:szCs w:val="24"/>
          <w:u w:val="single"/>
        </w:rPr>
      </w:pPr>
      <w:r w:rsidRPr="001B3304">
        <w:rPr>
          <w:szCs w:val="24"/>
        </w:rPr>
        <w:t xml:space="preserve">The “marked and substantial departure” standard applies to both the physical and mental elements of the offence. The TJ should consider all of the circumstances surrounding the activity: </w:t>
      </w:r>
      <w:r w:rsidRPr="001B3304">
        <w:rPr>
          <w:i/>
          <w:iCs/>
          <w:szCs w:val="24"/>
        </w:rPr>
        <w:t>R v Laine</w:t>
      </w:r>
      <w:r w:rsidRPr="001B3304">
        <w:rPr>
          <w:szCs w:val="24"/>
        </w:rPr>
        <w:t xml:space="preserve">, </w:t>
      </w:r>
      <w:r w:rsidRPr="001B3304">
        <w:rPr>
          <w:szCs w:val="24"/>
          <w:u w:val="single"/>
        </w:rPr>
        <w:t>2015 ONCA 519</w:t>
      </w:r>
    </w:p>
    <w:p w14:paraId="54243F90" w14:textId="72BFE750" w:rsidR="00547A26" w:rsidRPr="001B3304" w:rsidRDefault="00547A26" w:rsidP="003E1822">
      <w:pPr>
        <w:pStyle w:val="NoSpacing"/>
        <w:rPr>
          <w:szCs w:val="24"/>
        </w:rPr>
      </w:pPr>
    </w:p>
    <w:p w14:paraId="662AA0FB" w14:textId="08421CBB" w:rsidR="004C09FD" w:rsidRPr="001B3304" w:rsidRDefault="004C09FD" w:rsidP="003E1822">
      <w:pPr>
        <w:pStyle w:val="NoSpacing"/>
        <w:rPr>
          <w:szCs w:val="24"/>
        </w:rPr>
      </w:pPr>
      <w:r w:rsidRPr="001B3304">
        <w:rPr>
          <w:szCs w:val="24"/>
        </w:rPr>
        <w:t>Compliance with those standards in driving cases is assessed by asking whether a reasonable person in the position of the accused would have been aware of the risk posed by the manner of driving and would not have undertaken the activity.</w:t>
      </w:r>
    </w:p>
    <w:p w14:paraId="35DE0A83" w14:textId="77777777" w:rsidR="004C09FD" w:rsidRPr="001B3304" w:rsidRDefault="004C09FD" w:rsidP="003E1822">
      <w:pPr>
        <w:pStyle w:val="NoSpacing"/>
        <w:rPr>
          <w:szCs w:val="24"/>
        </w:rPr>
      </w:pPr>
    </w:p>
    <w:p w14:paraId="0C6EAB7B" w14:textId="27E64BED" w:rsidR="004C09FD" w:rsidRPr="001B3304" w:rsidRDefault="004C09FD" w:rsidP="003E1822">
      <w:pPr>
        <w:pStyle w:val="NoSpacing"/>
        <w:rPr>
          <w:szCs w:val="24"/>
        </w:rPr>
      </w:pPr>
      <w:r w:rsidRPr="001B3304">
        <w:rPr>
          <w:szCs w:val="24"/>
        </w:rPr>
        <w:t>In answering these questions, a “modified objective test” is applied. More specifically, the assessments just described are to be made in the circumstances the accused was in at the time of the alleged offence. However, the modification of the objective test has limits. Since such offences are meant to establish appropriate levels of objective care, the personal attributes of the offender are not to be considered: </w:t>
      </w:r>
      <w:r w:rsidRPr="001B3304">
        <w:rPr>
          <w:i/>
          <w:iCs/>
          <w:szCs w:val="24"/>
        </w:rPr>
        <w:t xml:space="preserve">R v </w:t>
      </w:r>
      <w:proofErr w:type="spellStart"/>
      <w:r w:rsidRPr="001B3304">
        <w:rPr>
          <w:i/>
          <w:iCs/>
          <w:szCs w:val="24"/>
        </w:rPr>
        <w:t>Galletta</w:t>
      </w:r>
      <w:proofErr w:type="spellEnd"/>
      <w:r w:rsidRPr="001B3304">
        <w:rPr>
          <w:i/>
          <w:iCs/>
          <w:szCs w:val="24"/>
        </w:rPr>
        <w:t xml:space="preserve">, </w:t>
      </w:r>
      <w:hyperlink r:id="rId53" w:history="1">
        <w:r w:rsidRPr="001B3304">
          <w:rPr>
            <w:rStyle w:val="Hyperlink"/>
            <w:szCs w:val="24"/>
          </w:rPr>
          <w:t>2020 ONCA 60</w:t>
        </w:r>
      </w:hyperlink>
      <w:r w:rsidRPr="001B3304">
        <w:rPr>
          <w:szCs w:val="24"/>
        </w:rPr>
        <w:t>, at paras 7-8</w:t>
      </w:r>
    </w:p>
    <w:p w14:paraId="74CA4ED0" w14:textId="497528FB" w:rsidR="004C09FD" w:rsidRPr="001B3304" w:rsidRDefault="004C09FD" w:rsidP="003E1822">
      <w:pPr>
        <w:pStyle w:val="NoSpacing"/>
        <w:rPr>
          <w:szCs w:val="24"/>
        </w:rPr>
      </w:pPr>
      <w:r w:rsidRPr="001B3304">
        <w:rPr>
          <w:szCs w:val="24"/>
        </w:rPr>
        <w:t xml:space="preserve">  </w:t>
      </w:r>
    </w:p>
    <w:p w14:paraId="3C939200" w14:textId="0F6AF744" w:rsidR="004C09FD" w:rsidRPr="001B3304" w:rsidRDefault="004C09FD" w:rsidP="003E1822">
      <w:pPr>
        <w:pStyle w:val="NoSpacing"/>
        <w:rPr>
          <w:szCs w:val="24"/>
        </w:rPr>
      </w:pPr>
      <w:r w:rsidRPr="001B3304">
        <w:rPr>
          <w:szCs w:val="24"/>
        </w:rPr>
        <w:t xml:space="preserve">An offender charged with a penal negligence offence will be morally innocent and thereby excused from a finding of guilt where the person is shown to lack the capacity to appreciate the nature and quality or consequences of his or her acts: </w:t>
      </w:r>
      <w:r w:rsidRPr="001B3304">
        <w:rPr>
          <w:i/>
          <w:iCs/>
          <w:szCs w:val="24"/>
        </w:rPr>
        <w:t xml:space="preserve">R v </w:t>
      </w:r>
      <w:r w:rsidRPr="001B3304">
        <w:rPr>
          <w:i/>
          <w:szCs w:val="24"/>
        </w:rPr>
        <w:t>Plein,</w:t>
      </w:r>
      <w:r w:rsidRPr="001B3304">
        <w:rPr>
          <w:i/>
          <w:color w:val="000000"/>
          <w:szCs w:val="24"/>
        </w:rPr>
        <w:t xml:space="preserve"> </w:t>
      </w:r>
      <w:hyperlink r:id="rId54" w:history="1">
        <w:r w:rsidRPr="001B3304">
          <w:rPr>
            <w:rStyle w:val="Hyperlink"/>
            <w:szCs w:val="24"/>
          </w:rPr>
          <w:t>2018 ONCA 748</w:t>
        </w:r>
      </w:hyperlink>
      <w:r w:rsidRPr="001B3304">
        <w:rPr>
          <w:color w:val="000000"/>
          <w:szCs w:val="24"/>
        </w:rPr>
        <w:t xml:space="preserve"> </w:t>
      </w:r>
      <w:r w:rsidRPr="001B3304">
        <w:rPr>
          <w:szCs w:val="24"/>
        </w:rPr>
        <w:t>at para 54</w:t>
      </w:r>
    </w:p>
    <w:p w14:paraId="4719E292" w14:textId="77777777" w:rsidR="004C09FD" w:rsidRPr="001B3304" w:rsidRDefault="004C09FD" w:rsidP="003E1822">
      <w:pPr>
        <w:pStyle w:val="NoSpacing"/>
        <w:rPr>
          <w:szCs w:val="24"/>
        </w:rPr>
      </w:pPr>
    </w:p>
    <w:p w14:paraId="0DA7476A" w14:textId="1E3D7875" w:rsidR="00547A26" w:rsidRPr="001B3304" w:rsidRDefault="00547A26" w:rsidP="003E1822">
      <w:pPr>
        <w:pStyle w:val="Heading2"/>
        <w:spacing w:line="276" w:lineRule="auto"/>
      </w:pPr>
      <w:bookmarkStart w:id="55" w:name="_Toc134294095"/>
      <w:r w:rsidRPr="001B3304">
        <w:t>Criminal Negligence Causing Death: s.220</w:t>
      </w:r>
      <w:bookmarkEnd w:id="55"/>
    </w:p>
    <w:p w14:paraId="656B67A6" w14:textId="77777777" w:rsidR="00547A26" w:rsidRPr="001B3304" w:rsidRDefault="00547A26" w:rsidP="003E1822">
      <w:pPr>
        <w:spacing w:before="100" w:beforeAutospacing="1" w:after="100" w:afterAutospacing="1" w:line="276" w:lineRule="auto"/>
        <w:jc w:val="both"/>
        <w:rPr>
          <w:rFonts w:ascii="Arial" w:hAnsi="Arial" w:cs="Arial"/>
          <w:color w:val="000000"/>
        </w:rPr>
      </w:pPr>
      <w:r w:rsidRPr="001B3304">
        <w:rPr>
          <w:rFonts w:ascii="Arial" w:hAnsi="Arial" w:cs="Arial"/>
          <w:color w:val="000000"/>
        </w:rPr>
        <w:t>In cases involving criminal negligence causing death by way of an unlawful omission, the Crown must prove that:</w:t>
      </w:r>
    </w:p>
    <w:p w14:paraId="647449B5" w14:textId="77777777" w:rsidR="00547A26" w:rsidRPr="001B3304" w:rsidRDefault="00547A26" w:rsidP="003E1822">
      <w:pPr>
        <w:pStyle w:val="ListParagraph"/>
        <w:numPr>
          <w:ilvl w:val="0"/>
          <w:numId w:val="11"/>
        </w:numPr>
        <w:spacing w:before="100" w:beforeAutospacing="1" w:after="100" w:afterAutospacing="1" w:line="276" w:lineRule="auto"/>
        <w:jc w:val="both"/>
        <w:rPr>
          <w:rFonts w:ascii="Arial" w:hAnsi="Arial" w:cs="Arial"/>
          <w:color w:val="000000"/>
          <w:sz w:val="24"/>
          <w:szCs w:val="24"/>
        </w:rPr>
      </w:pPr>
      <w:r w:rsidRPr="001B3304">
        <w:rPr>
          <w:rFonts w:ascii="Arial" w:hAnsi="Arial" w:cs="Arial"/>
          <w:color w:val="000000"/>
          <w:sz w:val="24"/>
          <w:szCs w:val="24"/>
        </w:rPr>
        <w:t xml:space="preserve">this unlawful omission showed a wanton and reckless disregard for the individual’s life or safety, in the sense that it was a “marked and substantial departure from the conduct of a reasonably prudent person in circumstances in which the accused either recognized and ran an obvious </w:t>
      </w:r>
      <w:r w:rsidRPr="001B3304">
        <w:rPr>
          <w:rFonts w:ascii="Arial" w:hAnsi="Arial" w:cs="Arial"/>
          <w:color w:val="000000"/>
          <w:sz w:val="24"/>
          <w:szCs w:val="24"/>
        </w:rPr>
        <w:lastRenderedPageBreak/>
        <w:t xml:space="preserve">and serious risk or, alternatively, gave no thought to that risk” to the individual’s life or safety; and </w:t>
      </w:r>
    </w:p>
    <w:p w14:paraId="5C3C8F00" w14:textId="7E9445E1" w:rsidR="00547A26" w:rsidRPr="001B3304" w:rsidRDefault="00547A26" w:rsidP="003E1822">
      <w:pPr>
        <w:pStyle w:val="ListParagraph"/>
        <w:numPr>
          <w:ilvl w:val="0"/>
          <w:numId w:val="11"/>
        </w:numPr>
        <w:spacing w:before="100" w:beforeAutospacing="1" w:after="100" w:afterAutospacing="1" w:line="276" w:lineRule="auto"/>
        <w:jc w:val="both"/>
        <w:rPr>
          <w:rFonts w:ascii="Arial" w:hAnsi="Arial" w:cs="Arial"/>
          <w:color w:val="000000" w:themeColor="text1"/>
          <w:sz w:val="24"/>
          <w:szCs w:val="24"/>
        </w:rPr>
      </w:pPr>
      <w:r w:rsidRPr="001B3304">
        <w:rPr>
          <w:rFonts w:ascii="Arial" w:hAnsi="Arial" w:cs="Arial"/>
          <w:color w:val="000000"/>
          <w:sz w:val="24"/>
          <w:szCs w:val="24"/>
        </w:rPr>
        <w:t xml:space="preserve">the unlawful omission caused the individual’s death: </w:t>
      </w:r>
      <w:r w:rsidRPr="001B3304">
        <w:rPr>
          <w:rFonts w:ascii="Arial" w:hAnsi="Arial" w:cs="Arial"/>
          <w:i/>
          <w:color w:val="000000"/>
          <w:sz w:val="24"/>
          <w:szCs w:val="24"/>
        </w:rPr>
        <w:t xml:space="preserve">R v Plein, </w:t>
      </w:r>
      <w:hyperlink r:id="rId55" w:history="1">
        <w:r w:rsidRPr="001B3304">
          <w:rPr>
            <w:rStyle w:val="Hyperlink"/>
            <w:rFonts w:ascii="Arial" w:hAnsi="Arial" w:cs="Arial"/>
            <w:sz w:val="24"/>
            <w:szCs w:val="24"/>
          </w:rPr>
          <w:t>2018 ONCA 748</w:t>
        </w:r>
      </w:hyperlink>
      <w:r w:rsidRPr="001B3304">
        <w:rPr>
          <w:rFonts w:ascii="Arial" w:hAnsi="Arial" w:cs="Arial"/>
          <w:color w:val="000000"/>
          <w:sz w:val="24"/>
          <w:szCs w:val="24"/>
        </w:rPr>
        <w:t xml:space="preserve"> at para 29</w:t>
      </w:r>
      <w:r w:rsidR="00FB5F70" w:rsidRPr="001B3304">
        <w:rPr>
          <w:rFonts w:ascii="Arial" w:hAnsi="Arial" w:cs="Arial"/>
          <w:color w:val="000000"/>
          <w:sz w:val="24"/>
          <w:szCs w:val="24"/>
        </w:rPr>
        <w:t xml:space="preserve">: </w:t>
      </w:r>
      <w:r w:rsidR="00FB5F70" w:rsidRPr="001B3304">
        <w:rPr>
          <w:rFonts w:ascii="Arial" w:hAnsi="Arial" w:cs="Arial"/>
          <w:i/>
          <w:iCs/>
          <w:color w:val="000000"/>
          <w:sz w:val="24"/>
          <w:szCs w:val="24"/>
        </w:rPr>
        <w:t xml:space="preserve">R v </w:t>
      </w:r>
      <w:proofErr w:type="spellStart"/>
      <w:r w:rsidR="00FB5F70" w:rsidRPr="001B3304">
        <w:rPr>
          <w:rFonts w:ascii="Arial" w:hAnsi="Arial" w:cs="Arial"/>
          <w:i/>
          <w:iCs/>
          <w:color w:val="000000"/>
          <w:sz w:val="24"/>
          <w:szCs w:val="24"/>
        </w:rPr>
        <w:t>Javanmardi</w:t>
      </w:r>
      <w:proofErr w:type="spellEnd"/>
      <w:r w:rsidR="00FB5F70" w:rsidRPr="001B3304">
        <w:rPr>
          <w:rFonts w:ascii="Arial" w:hAnsi="Arial" w:cs="Arial"/>
          <w:i/>
          <w:iCs/>
          <w:color w:val="000000"/>
          <w:sz w:val="24"/>
          <w:szCs w:val="24"/>
        </w:rPr>
        <w:t xml:space="preserve">, </w:t>
      </w:r>
      <w:hyperlink r:id="rId56" w:history="1">
        <w:r w:rsidR="00FB5F70" w:rsidRPr="001B3304">
          <w:rPr>
            <w:rStyle w:val="Hyperlink"/>
            <w:rFonts w:ascii="Arial" w:hAnsi="Arial" w:cs="Arial"/>
            <w:sz w:val="24"/>
            <w:szCs w:val="24"/>
          </w:rPr>
          <w:t>2019 SCC 54</w:t>
        </w:r>
      </w:hyperlink>
      <w:r w:rsidR="00367B4F" w:rsidRPr="001B3304">
        <w:rPr>
          <w:rStyle w:val="Hyperlink"/>
          <w:rFonts w:ascii="Arial" w:hAnsi="Arial" w:cs="Arial"/>
          <w:sz w:val="24"/>
          <w:szCs w:val="24"/>
          <w:u w:val="none"/>
        </w:rPr>
        <w:t xml:space="preserve">; </w:t>
      </w:r>
      <w:r w:rsidR="00367B4F" w:rsidRPr="001B3304">
        <w:rPr>
          <w:rStyle w:val="Hyperlink"/>
          <w:rFonts w:ascii="Arial" w:hAnsi="Arial" w:cs="Arial"/>
          <w:i/>
          <w:iCs/>
          <w:color w:val="000000" w:themeColor="text1"/>
          <w:sz w:val="24"/>
          <w:szCs w:val="24"/>
          <w:u w:val="none"/>
        </w:rPr>
        <w:t xml:space="preserve">R v HC, </w:t>
      </w:r>
      <w:hyperlink r:id="rId57" w:history="1">
        <w:r w:rsidR="00367B4F" w:rsidRPr="001B3304">
          <w:rPr>
            <w:rStyle w:val="Hyperlink"/>
            <w:rFonts w:ascii="Arial" w:hAnsi="Arial" w:cs="Arial"/>
            <w:color w:val="000000" w:themeColor="text1"/>
            <w:sz w:val="24"/>
            <w:szCs w:val="24"/>
          </w:rPr>
          <w:t>2022 ONCA 409</w:t>
        </w:r>
      </w:hyperlink>
      <w:r w:rsidR="00367B4F" w:rsidRPr="001B3304">
        <w:rPr>
          <w:rStyle w:val="Hyperlink"/>
          <w:rFonts w:ascii="Arial" w:hAnsi="Arial" w:cs="Arial"/>
          <w:color w:val="000000" w:themeColor="text1"/>
          <w:sz w:val="24"/>
          <w:szCs w:val="24"/>
          <w:u w:val="none"/>
        </w:rPr>
        <w:t>, at paras 35-36</w:t>
      </w:r>
    </w:p>
    <w:p w14:paraId="140BFD88" w14:textId="67C9F03F" w:rsidR="00FB5F70" w:rsidRPr="001B3304" w:rsidRDefault="00FB5F70" w:rsidP="003E1822">
      <w:pPr>
        <w:spacing w:line="276" w:lineRule="auto"/>
        <w:rPr>
          <w:rFonts w:ascii="Arial" w:hAnsi="Arial" w:cs="Arial"/>
        </w:rPr>
      </w:pPr>
    </w:p>
    <w:p w14:paraId="69EBCA56" w14:textId="3BD6390E" w:rsidR="00FB5F70" w:rsidRPr="001B3304" w:rsidRDefault="00FB5F70" w:rsidP="003E1822">
      <w:pPr>
        <w:pStyle w:val="NoSpacing"/>
        <w:rPr>
          <w:rStyle w:val="Hyperlink"/>
          <w:szCs w:val="24"/>
        </w:rPr>
      </w:pPr>
      <w:r w:rsidRPr="001B3304">
        <w:rPr>
          <w:szCs w:val="24"/>
        </w:rPr>
        <w:t>An activity</w:t>
      </w:r>
      <w:r w:rsidRPr="001B3304">
        <w:rPr>
          <w:szCs w:val="24"/>
        </w:rPr>
        <w:noBreakHyphen/>
        <w:t>sensitive approach to the modified objective</w:t>
      </w:r>
      <w:r w:rsidRPr="001B3304">
        <w:rPr>
          <w:b/>
          <w:bCs/>
          <w:szCs w:val="24"/>
        </w:rPr>
        <w:t> </w:t>
      </w:r>
      <w:r w:rsidRPr="001B3304">
        <w:rPr>
          <w:szCs w:val="24"/>
        </w:rPr>
        <w:t xml:space="preserve">standard should be applied. While the standard is not determined by the accused’s personal characteristics, it is informed by the activity. Evidence of training and experience may be used to rebut an allegation of being unqualified to engage in an activity or to show how a reasonable person in the circumstances of the accused would have performed the activity: </w:t>
      </w:r>
      <w:r w:rsidRPr="001B3304">
        <w:rPr>
          <w:i/>
          <w:iCs/>
          <w:color w:val="000000"/>
          <w:szCs w:val="24"/>
        </w:rPr>
        <w:t xml:space="preserve">R v </w:t>
      </w:r>
      <w:proofErr w:type="spellStart"/>
      <w:r w:rsidRPr="001B3304">
        <w:rPr>
          <w:i/>
          <w:iCs/>
          <w:color w:val="000000"/>
          <w:szCs w:val="24"/>
        </w:rPr>
        <w:t>Javanmardi</w:t>
      </w:r>
      <w:proofErr w:type="spellEnd"/>
      <w:r w:rsidRPr="001B3304">
        <w:rPr>
          <w:i/>
          <w:iCs/>
          <w:color w:val="000000"/>
          <w:szCs w:val="24"/>
        </w:rPr>
        <w:t xml:space="preserve">, </w:t>
      </w:r>
      <w:hyperlink r:id="rId58" w:history="1">
        <w:r w:rsidRPr="001B3304">
          <w:rPr>
            <w:rStyle w:val="Hyperlink"/>
            <w:szCs w:val="24"/>
          </w:rPr>
          <w:t>2019 SCC 54</w:t>
        </w:r>
      </w:hyperlink>
    </w:p>
    <w:p w14:paraId="24579F29" w14:textId="6467B496" w:rsidR="007D3028" w:rsidRPr="001B3304" w:rsidRDefault="007D3028" w:rsidP="003E1822">
      <w:pPr>
        <w:pStyle w:val="NoSpacing"/>
        <w:rPr>
          <w:rStyle w:val="Hyperlink"/>
          <w:szCs w:val="24"/>
        </w:rPr>
      </w:pPr>
    </w:p>
    <w:p w14:paraId="7987DBFE" w14:textId="77777777" w:rsidR="00367B4F" w:rsidRPr="001B3304" w:rsidRDefault="00367B4F" w:rsidP="003E1822">
      <w:pPr>
        <w:pStyle w:val="NoSpacing"/>
        <w:rPr>
          <w:rStyle w:val="Hyperlink"/>
          <w:szCs w:val="24"/>
        </w:rPr>
      </w:pPr>
    </w:p>
    <w:p w14:paraId="1A45F9C0" w14:textId="1949D1DC" w:rsidR="007D3028" w:rsidRPr="001B3304" w:rsidRDefault="007D3028" w:rsidP="007D3028">
      <w:pPr>
        <w:pStyle w:val="NoSpacing"/>
        <w:rPr>
          <w:szCs w:val="24"/>
        </w:rPr>
      </w:pPr>
      <w:r w:rsidRPr="001B3304">
        <w:rPr>
          <w:szCs w:val="24"/>
        </w:rPr>
        <w:t xml:space="preserve">In terms of causation, liability turns on whether the Crown can prove that the accused’s conduct amounts to a “significant contributing cause” of the event in issue. </w:t>
      </w:r>
      <w:r w:rsidRPr="001B3304">
        <w:rPr>
          <w:color w:val="000000"/>
          <w:szCs w:val="24"/>
        </w:rPr>
        <w:t>Causing a risk of death cannot be equated with causing death</w:t>
      </w:r>
      <w:r w:rsidRPr="001B3304">
        <w:rPr>
          <w:szCs w:val="24"/>
        </w:rPr>
        <w:t xml:space="preserve"> </w:t>
      </w:r>
      <w:r w:rsidRPr="001B3304">
        <w:rPr>
          <w:i/>
          <w:iCs/>
          <w:szCs w:val="24"/>
        </w:rPr>
        <w:t xml:space="preserve">R v Doering, </w:t>
      </w:r>
      <w:hyperlink r:id="rId59" w:history="1">
        <w:r w:rsidRPr="001B3304">
          <w:rPr>
            <w:rStyle w:val="Hyperlink"/>
            <w:szCs w:val="24"/>
          </w:rPr>
          <w:t>2022 ONCA 559</w:t>
        </w:r>
      </w:hyperlink>
      <w:r w:rsidRPr="001B3304">
        <w:rPr>
          <w:szCs w:val="24"/>
        </w:rPr>
        <w:t>, at paras 136, 143</w:t>
      </w:r>
    </w:p>
    <w:p w14:paraId="49129BB2" w14:textId="77777777" w:rsidR="00FB5F70" w:rsidRPr="001B3304" w:rsidRDefault="00FB5F70" w:rsidP="003E1822">
      <w:pPr>
        <w:spacing w:line="276" w:lineRule="auto"/>
        <w:rPr>
          <w:rFonts w:ascii="Arial" w:hAnsi="Arial" w:cs="Arial"/>
        </w:rPr>
      </w:pPr>
    </w:p>
    <w:p w14:paraId="2C2D89B6" w14:textId="77777777" w:rsidR="00BC4E40" w:rsidRPr="001B3304" w:rsidRDefault="00BC4E40" w:rsidP="003E1822">
      <w:pPr>
        <w:pStyle w:val="Heading2"/>
        <w:spacing w:line="276" w:lineRule="auto"/>
      </w:pPr>
      <w:bookmarkStart w:id="56" w:name="_Toc134294096"/>
      <w:r w:rsidRPr="001B3304">
        <w:t>Criminal Negligence Causing Bodily Harm: S. 221</w:t>
      </w:r>
      <w:bookmarkEnd w:id="56"/>
    </w:p>
    <w:p w14:paraId="3C6F4669" w14:textId="77777777" w:rsidR="00457CBD" w:rsidRPr="001B3304" w:rsidRDefault="00457CBD" w:rsidP="003E1822">
      <w:pPr>
        <w:pStyle w:val="NoSpacing"/>
        <w:rPr>
          <w:szCs w:val="24"/>
        </w:rPr>
      </w:pPr>
    </w:p>
    <w:p w14:paraId="27A3F213" w14:textId="7C28987F" w:rsidR="00BC4E40" w:rsidRPr="001B3304" w:rsidRDefault="00BC4E40" w:rsidP="003E1822">
      <w:pPr>
        <w:pStyle w:val="NoSpacing"/>
        <w:rPr>
          <w:szCs w:val="24"/>
        </w:rPr>
      </w:pPr>
      <w:r w:rsidRPr="001B3304">
        <w:rPr>
          <w:szCs w:val="24"/>
        </w:rPr>
        <w:t xml:space="preserve">Immediacy of harm may serve to provide evidence of a causal link between the criminally negligent act and the bodily harm; however, it is not an essential element of the offence.  The Crown is free to prove the causal link by other means: </w:t>
      </w:r>
      <w:r w:rsidRPr="001B3304">
        <w:rPr>
          <w:i/>
          <w:iCs/>
          <w:szCs w:val="24"/>
        </w:rPr>
        <w:t xml:space="preserve">R v LK, </w:t>
      </w:r>
      <w:hyperlink r:id="rId60" w:history="1">
        <w:r w:rsidRPr="001B3304">
          <w:rPr>
            <w:rStyle w:val="Hyperlink"/>
            <w:szCs w:val="24"/>
          </w:rPr>
          <w:t>2020 ONCA 262</w:t>
        </w:r>
      </w:hyperlink>
      <w:r w:rsidRPr="001B3304">
        <w:rPr>
          <w:szCs w:val="24"/>
        </w:rPr>
        <w:t xml:space="preserve">, at para 48 </w:t>
      </w:r>
    </w:p>
    <w:p w14:paraId="74EA562B" w14:textId="4953AE1F" w:rsidR="00FB5F70" w:rsidRPr="001B3304" w:rsidRDefault="00FB5F70" w:rsidP="003E1822">
      <w:pPr>
        <w:pStyle w:val="NoSpacing"/>
        <w:rPr>
          <w:szCs w:val="24"/>
        </w:rPr>
      </w:pPr>
    </w:p>
    <w:p w14:paraId="22EDF781" w14:textId="77777777" w:rsidR="00777315" w:rsidRPr="001B3304" w:rsidRDefault="00777315" w:rsidP="003E1822">
      <w:pPr>
        <w:pStyle w:val="NoSpacing"/>
        <w:rPr>
          <w:szCs w:val="24"/>
        </w:rPr>
      </w:pPr>
    </w:p>
    <w:p w14:paraId="47B82EDA" w14:textId="7D288D97" w:rsidR="00FB5F70" w:rsidRPr="001B3304" w:rsidRDefault="00FB5F70" w:rsidP="003E1822">
      <w:pPr>
        <w:pStyle w:val="Heading2"/>
        <w:spacing w:line="276" w:lineRule="auto"/>
      </w:pPr>
      <w:bookmarkStart w:id="57" w:name="_Toc134294097"/>
      <w:r w:rsidRPr="001B3304">
        <w:t>Unlawful Act Manslaughter: s.222(5)</w:t>
      </w:r>
      <w:bookmarkEnd w:id="57"/>
    </w:p>
    <w:p w14:paraId="03DECD55" w14:textId="7F2B9BAA" w:rsidR="00457CBD" w:rsidRPr="001B3304" w:rsidRDefault="00367B4F" w:rsidP="003E1822">
      <w:pPr>
        <w:pStyle w:val="NoSpacing"/>
        <w:rPr>
          <w:szCs w:val="24"/>
        </w:rPr>
      </w:pPr>
      <w:r w:rsidRPr="001B3304">
        <w:rPr>
          <w:rFonts w:eastAsia="Times New Roman"/>
          <w:color w:val="000000"/>
          <w:szCs w:val="24"/>
          <w:bdr w:val="none" w:sz="0" w:space="0" w:color="auto"/>
        </w:rPr>
        <w:t>To prove unlawful act manslaughter, the Crown must prove (</w:t>
      </w:r>
      <w:proofErr w:type="spellStart"/>
      <w:r w:rsidRPr="001B3304">
        <w:rPr>
          <w:rFonts w:eastAsia="Times New Roman"/>
          <w:color w:val="000000"/>
          <w:szCs w:val="24"/>
          <w:bdr w:val="none" w:sz="0" w:space="0" w:color="auto"/>
        </w:rPr>
        <w:t>i</w:t>
      </w:r>
      <w:proofErr w:type="spellEnd"/>
      <w:r w:rsidRPr="001B3304">
        <w:rPr>
          <w:rFonts w:eastAsia="Times New Roman"/>
          <w:color w:val="000000"/>
          <w:szCs w:val="24"/>
          <w:bdr w:val="none" w:sz="0" w:space="0" w:color="auto"/>
        </w:rPr>
        <w:t>) an unlawful act or omission (</w:t>
      </w:r>
      <w:r w:rsidRPr="001B3304">
        <w:rPr>
          <w:rFonts w:eastAsia="Times New Roman"/>
          <w:i/>
          <w:iCs/>
          <w:color w:val="000000"/>
          <w:szCs w:val="24"/>
          <w:bdr w:val="none" w:sz="0" w:space="0" w:color="auto"/>
          <w:lang w:val="en-CA"/>
        </w:rPr>
        <w:t>actus reus</w:t>
      </w:r>
      <w:r w:rsidRPr="001B3304">
        <w:rPr>
          <w:rFonts w:eastAsia="Times New Roman"/>
          <w:color w:val="000000"/>
          <w:szCs w:val="24"/>
          <w:bdr w:val="none" w:sz="0" w:space="0" w:color="auto"/>
        </w:rPr>
        <w:t>); (ii) that the unlawful act or omission was inherently dangerous in that it presented an objectively foreseeable risk of causing injury and was a marked departure from the standards of a reasonable person (</w:t>
      </w:r>
      <w:proofErr w:type="spellStart"/>
      <w:r w:rsidRPr="001B3304">
        <w:rPr>
          <w:rFonts w:eastAsia="Times New Roman"/>
          <w:i/>
          <w:iCs/>
          <w:color w:val="000000"/>
          <w:szCs w:val="24"/>
          <w:bdr w:val="none" w:sz="0" w:space="0" w:color="auto"/>
          <w:lang w:val="en-CA"/>
        </w:rPr>
        <w:t>mens</w:t>
      </w:r>
      <w:proofErr w:type="spellEnd"/>
      <w:r w:rsidRPr="001B3304">
        <w:rPr>
          <w:rFonts w:eastAsia="Times New Roman"/>
          <w:i/>
          <w:iCs/>
          <w:color w:val="000000"/>
          <w:szCs w:val="24"/>
          <w:bdr w:val="none" w:sz="0" w:space="0" w:color="auto"/>
          <w:lang w:val="en-CA"/>
        </w:rPr>
        <w:t xml:space="preserve"> rea</w:t>
      </w:r>
      <w:r w:rsidRPr="001B3304">
        <w:rPr>
          <w:rFonts w:eastAsia="Times New Roman"/>
          <w:color w:val="000000"/>
          <w:szCs w:val="24"/>
          <w:bdr w:val="none" w:sz="0" w:space="0" w:color="auto"/>
        </w:rPr>
        <w:t xml:space="preserve">); and (iii) that the act or omission caused the death (causation): </w:t>
      </w:r>
      <w:r w:rsidRPr="001B3304">
        <w:rPr>
          <w:rFonts w:eastAsia="Times New Roman"/>
          <w:i/>
          <w:iCs/>
          <w:color w:val="000000"/>
          <w:szCs w:val="24"/>
          <w:bdr w:val="none" w:sz="0" w:space="0" w:color="auto"/>
        </w:rPr>
        <w:t xml:space="preserve">R v HC, </w:t>
      </w:r>
      <w:hyperlink r:id="rId61" w:history="1">
        <w:r w:rsidRPr="001B3304">
          <w:rPr>
            <w:rStyle w:val="Hyperlink"/>
            <w:rFonts w:eastAsia="Times New Roman"/>
            <w:szCs w:val="24"/>
            <w:bdr w:val="none" w:sz="0" w:space="0" w:color="auto"/>
          </w:rPr>
          <w:t>2022 ONCA 409</w:t>
        </w:r>
      </w:hyperlink>
      <w:r w:rsidRPr="001B3304">
        <w:rPr>
          <w:rFonts w:eastAsia="Times New Roman"/>
          <w:color w:val="000000"/>
          <w:szCs w:val="24"/>
          <w:bdr w:val="none" w:sz="0" w:space="0" w:color="auto"/>
        </w:rPr>
        <w:t>, at para 34</w:t>
      </w:r>
    </w:p>
    <w:p w14:paraId="36001B1C" w14:textId="77777777" w:rsidR="00367B4F" w:rsidRPr="001B3304" w:rsidRDefault="00367B4F" w:rsidP="003E1822">
      <w:pPr>
        <w:pStyle w:val="NoSpacing"/>
        <w:rPr>
          <w:szCs w:val="24"/>
        </w:rPr>
      </w:pPr>
    </w:p>
    <w:p w14:paraId="5FC7405A" w14:textId="77777777" w:rsidR="00367B4F" w:rsidRPr="001B3304" w:rsidRDefault="00FB5F70" w:rsidP="003E1822">
      <w:pPr>
        <w:pStyle w:val="NoSpacing"/>
        <w:rPr>
          <w:szCs w:val="24"/>
        </w:rPr>
      </w:pPr>
      <w:r w:rsidRPr="001B3304">
        <w:rPr>
          <w:szCs w:val="24"/>
        </w:rPr>
        <w:lastRenderedPageBreak/>
        <w:t>The </w:t>
      </w:r>
      <w:r w:rsidRPr="001B3304">
        <w:rPr>
          <w:i/>
          <w:iCs/>
          <w:szCs w:val="24"/>
        </w:rPr>
        <w:t>actus reus</w:t>
      </w:r>
      <w:r w:rsidRPr="001B3304">
        <w:rPr>
          <w:szCs w:val="24"/>
        </w:rPr>
        <w:t> of unlawful act manslaughter under </w:t>
      </w:r>
      <w:hyperlink r:id="rId62" w:anchor="!fragment/sec222subsec5" w:tgtFrame="_blank" w:history="1">
        <w:r w:rsidRPr="001B3304">
          <w:rPr>
            <w:rStyle w:val="Hyperlink"/>
            <w:szCs w:val="24"/>
          </w:rPr>
          <w:t>s. 222(5)</w:t>
        </w:r>
        <w:r w:rsidRPr="001B3304">
          <w:rPr>
            <w:rStyle w:val="decisia-reflex2-icon"/>
            <w:color w:val="0000FF"/>
            <w:szCs w:val="24"/>
            <w:u w:val="single"/>
          </w:rPr>
          <w:t> </w:t>
        </w:r>
      </w:hyperlink>
      <w:r w:rsidRPr="001B3304">
        <w:rPr>
          <w:szCs w:val="24"/>
        </w:rPr>
        <w:t>(a) of the </w:t>
      </w:r>
      <w:hyperlink r:id="rId63" w:tgtFrame="_blank" w:history="1">
        <w:r w:rsidRPr="001B3304">
          <w:rPr>
            <w:rStyle w:val="Hyperlink"/>
            <w:i/>
            <w:iCs/>
            <w:szCs w:val="24"/>
          </w:rPr>
          <w:t>Criminal Code</w:t>
        </w:r>
        <w:r w:rsidRPr="001B3304">
          <w:rPr>
            <w:rStyle w:val="decisia-reflex2-icon"/>
            <w:i/>
            <w:iCs/>
            <w:color w:val="0000FF"/>
            <w:szCs w:val="24"/>
            <w:u w:val="single"/>
          </w:rPr>
          <w:t> </w:t>
        </w:r>
      </w:hyperlink>
      <w:r w:rsidRPr="001B3304">
        <w:rPr>
          <w:szCs w:val="24"/>
        </w:rPr>
        <w:t xml:space="preserve"> requires the Crown to prove that the accused committed an unlawful act and that the unlawful act caused death. </w:t>
      </w:r>
    </w:p>
    <w:p w14:paraId="49E35F98" w14:textId="77777777" w:rsidR="00367B4F" w:rsidRPr="001B3304" w:rsidRDefault="00367B4F" w:rsidP="003E1822">
      <w:pPr>
        <w:pStyle w:val="NoSpacing"/>
        <w:rPr>
          <w:szCs w:val="24"/>
        </w:rPr>
      </w:pPr>
    </w:p>
    <w:p w14:paraId="583A4775" w14:textId="3CA2BAC1" w:rsidR="00FB5F70" w:rsidRPr="001B3304" w:rsidRDefault="00FB5F70" w:rsidP="003E1822">
      <w:pPr>
        <w:pStyle w:val="NoSpacing"/>
        <w:rPr>
          <w:szCs w:val="24"/>
        </w:rPr>
      </w:pPr>
      <w:r w:rsidRPr="001B3304">
        <w:rPr>
          <w:szCs w:val="24"/>
        </w:rPr>
        <w:t xml:space="preserve">The underlying unlawful act is described as the “predicate” offence. Where the predicate offence is one of strict liability, the fault element for that offence must be read as a marked departure from the standard expected of a reasonable person in the circumstances. The Crown is not required to prove that the predicate offence was objectively dangerous. An unlawful act, accompanied by objective foreseeability of the risk of bodily harm that is neither trivial nor transitory, is an objectively dangerous act. </w:t>
      </w:r>
    </w:p>
    <w:p w14:paraId="3DE2CA73" w14:textId="77777777" w:rsidR="00FB5F70" w:rsidRPr="001B3304" w:rsidRDefault="00FB5F70" w:rsidP="003E1822">
      <w:pPr>
        <w:pStyle w:val="NoSpacing"/>
        <w:rPr>
          <w:szCs w:val="24"/>
        </w:rPr>
      </w:pPr>
    </w:p>
    <w:p w14:paraId="4ED43908" w14:textId="57C7CC47" w:rsidR="00FB5F70" w:rsidRPr="001B3304" w:rsidRDefault="00FB5F70" w:rsidP="003E1822">
      <w:pPr>
        <w:pStyle w:val="NoSpacing"/>
        <w:rPr>
          <w:szCs w:val="24"/>
        </w:rPr>
      </w:pPr>
      <w:r w:rsidRPr="001B3304">
        <w:rPr>
          <w:szCs w:val="24"/>
        </w:rPr>
        <w:t>The fault element that an accused’s conduct be measured against the standard of a reasonable person in their circumstances. An activity</w:t>
      </w:r>
      <w:r w:rsidRPr="001B3304">
        <w:rPr>
          <w:szCs w:val="24"/>
        </w:rPr>
        <w:noBreakHyphen/>
        <w:t>sensitive approach to the modified objective</w:t>
      </w:r>
      <w:r w:rsidRPr="001B3304">
        <w:rPr>
          <w:b/>
          <w:bCs/>
          <w:szCs w:val="24"/>
        </w:rPr>
        <w:t> </w:t>
      </w:r>
      <w:r w:rsidRPr="001B3304">
        <w:rPr>
          <w:szCs w:val="24"/>
        </w:rPr>
        <w:t xml:space="preserve">standard should be applied. While the standard is not determined by the accused’s personal characteristics, it is informed by the activity. Evidence of training and experience may be used to rebut an allegation of being unqualified to engage in an activity or to show how a reasonable person in the circumstances of the accused would have performed the activity: </w:t>
      </w:r>
      <w:r w:rsidRPr="001B3304">
        <w:rPr>
          <w:i/>
          <w:iCs/>
          <w:color w:val="000000"/>
          <w:szCs w:val="24"/>
        </w:rPr>
        <w:t xml:space="preserve">R v </w:t>
      </w:r>
      <w:proofErr w:type="spellStart"/>
      <w:r w:rsidRPr="001B3304">
        <w:rPr>
          <w:i/>
          <w:iCs/>
          <w:color w:val="000000"/>
          <w:szCs w:val="24"/>
        </w:rPr>
        <w:t>Javanmardi</w:t>
      </w:r>
      <w:proofErr w:type="spellEnd"/>
      <w:r w:rsidRPr="001B3304">
        <w:rPr>
          <w:i/>
          <w:iCs/>
          <w:color w:val="000000"/>
          <w:szCs w:val="24"/>
        </w:rPr>
        <w:t xml:space="preserve">, </w:t>
      </w:r>
      <w:hyperlink r:id="rId64" w:history="1">
        <w:r w:rsidRPr="001B3304">
          <w:rPr>
            <w:rStyle w:val="Hyperlink"/>
            <w:szCs w:val="24"/>
          </w:rPr>
          <w:t>2019 SCC 54</w:t>
        </w:r>
      </w:hyperlink>
    </w:p>
    <w:p w14:paraId="7F7D2C8C" w14:textId="4889425F" w:rsidR="002B00B8" w:rsidRPr="001B3304" w:rsidRDefault="002B00B8" w:rsidP="003E1822">
      <w:pPr>
        <w:spacing w:line="276" w:lineRule="auto"/>
        <w:rPr>
          <w:rFonts w:ascii="Arial" w:hAnsi="Arial" w:cs="Arial"/>
        </w:rPr>
      </w:pPr>
    </w:p>
    <w:p w14:paraId="54C417D8" w14:textId="3B2E3A75" w:rsidR="00367B4F" w:rsidRPr="001B3304" w:rsidRDefault="00367B4F" w:rsidP="00E245EC">
      <w:pPr>
        <w:pStyle w:val="NoSpacing"/>
        <w:rPr>
          <w:szCs w:val="24"/>
        </w:rPr>
      </w:pPr>
      <w:r w:rsidRPr="001B3304">
        <w:rPr>
          <w:szCs w:val="24"/>
        </w:rPr>
        <w:t>The principles of reasonable foreseeability and independent intervening act are relevant but not dispositive on the issue of causation. The ultimate question is whether the dangerous, unlawful acts of the accused a significant contributing cause of the victim’s death?</w:t>
      </w:r>
    </w:p>
    <w:p w14:paraId="77856E92" w14:textId="54EFCF99" w:rsidR="00367B4F" w:rsidRPr="001B3304" w:rsidRDefault="00367B4F" w:rsidP="003E1822">
      <w:pPr>
        <w:spacing w:line="276" w:lineRule="auto"/>
        <w:rPr>
          <w:rFonts w:ascii="Arial" w:hAnsi="Arial" w:cs="Arial"/>
          <w:color w:val="000000"/>
        </w:rPr>
      </w:pPr>
    </w:p>
    <w:p w14:paraId="0EFC0477" w14:textId="7129BF1D" w:rsidR="00367B4F" w:rsidRPr="001B3304" w:rsidRDefault="00367B4F" w:rsidP="00367B4F">
      <w:pPr>
        <w:pStyle w:val="NoSpacing"/>
        <w:rPr>
          <w:szCs w:val="24"/>
        </w:rPr>
      </w:pPr>
      <w:r w:rsidRPr="001B3304">
        <w:rPr>
          <w:szCs w:val="24"/>
        </w:rPr>
        <w:t xml:space="preserve">An intervening act that is reasonably foreseeable will usually not break the chain of causation. An accused who undertakes a dangerous act, and in so doing contributes to a death, should bear the risk that other foreseeable acts may intervene and contribute to that death.  It is not the specific subsequent act that must be foreseen for an outcome to have been reasonably foreseeable. Rather, it is sufficient if the general nature of the intervening act and the risk of non-trivial harm are objectively foreseeable at the time of the dangerous and unlawful acts. The inquiry is whether intervening acts rendered the accused’s actions so remote from the death such that the accused should not be held responsible, having regard to factors such as the time, place, circumstance, nature, and effect of the intervening act with the accused’s act, and whether the accused’s acts were still subsisting at the time of the intervening act: </w:t>
      </w:r>
      <w:r w:rsidRPr="001B3304">
        <w:rPr>
          <w:i/>
          <w:iCs/>
          <w:szCs w:val="24"/>
        </w:rPr>
        <w:t xml:space="preserve">R v HC, </w:t>
      </w:r>
      <w:hyperlink r:id="rId65" w:history="1">
        <w:r w:rsidRPr="001B3304">
          <w:rPr>
            <w:rStyle w:val="Hyperlink"/>
            <w:szCs w:val="24"/>
          </w:rPr>
          <w:t>2022 ONCA 409</w:t>
        </w:r>
      </w:hyperlink>
      <w:r w:rsidRPr="001B3304">
        <w:rPr>
          <w:szCs w:val="24"/>
        </w:rPr>
        <w:t>, at para 44</w:t>
      </w:r>
    </w:p>
    <w:p w14:paraId="5BE82C9B" w14:textId="77777777" w:rsidR="00367B4F" w:rsidRPr="001B3304" w:rsidRDefault="00367B4F" w:rsidP="003E1822">
      <w:pPr>
        <w:spacing w:line="276" w:lineRule="auto"/>
        <w:rPr>
          <w:rFonts w:ascii="Arial" w:hAnsi="Arial" w:cs="Arial"/>
        </w:rPr>
      </w:pPr>
    </w:p>
    <w:p w14:paraId="0022F6B1" w14:textId="6F6616FD" w:rsidR="002B00B8" w:rsidRPr="001B3304" w:rsidRDefault="00DD6403" w:rsidP="003E1822">
      <w:pPr>
        <w:pStyle w:val="Heading2"/>
        <w:spacing w:line="276" w:lineRule="auto"/>
      </w:pPr>
      <w:bookmarkStart w:id="58" w:name="_Toc134294098"/>
      <w:r w:rsidRPr="001B3304">
        <w:lastRenderedPageBreak/>
        <w:t>S</w:t>
      </w:r>
      <w:r w:rsidR="002B00B8" w:rsidRPr="001B3304">
        <w:t xml:space="preserve">econd </w:t>
      </w:r>
      <w:r w:rsidR="00457CBD" w:rsidRPr="001B3304">
        <w:t>D</w:t>
      </w:r>
      <w:r w:rsidR="002B00B8" w:rsidRPr="001B3304">
        <w:t xml:space="preserve">egree </w:t>
      </w:r>
      <w:r w:rsidR="00457CBD" w:rsidRPr="001B3304">
        <w:t>M</w:t>
      </w:r>
      <w:r w:rsidR="002B00B8" w:rsidRPr="001B3304">
        <w:t>urder</w:t>
      </w:r>
      <w:r w:rsidR="002E496F" w:rsidRPr="001B3304">
        <w:t>: s.229</w:t>
      </w:r>
      <w:bookmarkEnd w:id="58"/>
    </w:p>
    <w:p w14:paraId="0D9B6C80" w14:textId="5BE286A9" w:rsidR="00C84E7E" w:rsidRPr="001B3304" w:rsidRDefault="002B00B8" w:rsidP="00C84E7E">
      <w:pPr>
        <w:pStyle w:val="Heading3"/>
        <w:numPr>
          <w:ilvl w:val="0"/>
          <w:numId w:val="43"/>
        </w:numPr>
      </w:pPr>
      <w:bookmarkStart w:id="59" w:name="_Toc134294099"/>
      <w:proofErr w:type="spellStart"/>
      <w:r w:rsidRPr="001B3304">
        <w:t>Mens</w:t>
      </w:r>
      <w:proofErr w:type="spellEnd"/>
      <w:r w:rsidRPr="001B3304">
        <w:t xml:space="preserve"> Rea</w:t>
      </w:r>
      <w:r w:rsidR="00C84E7E" w:rsidRPr="001B3304">
        <w:t xml:space="preserve"> under s.229(a)(</w:t>
      </w:r>
      <w:proofErr w:type="spellStart"/>
      <w:r w:rsidR="00C84E7E" w:rsidRPr="001B3304">
        <w:t>i</w:t>
      </w:r>
      <w:proofErr w:type="spellEnd"/>
      <w:r w:rsidR="00C84E7E" w:rsidRPr="001B3304">
        <w:t>)</w:t>
      </w:r>
      <w:bookmarkEnd w:id="59"/>
    </w:p>
    <w:p w14:paraId="5002B605" w14:textId="77777777" w:rsidR="00C84E7E" w:rsidRPr="001B3304" w:rsidRDefault="00C84E7E" w:rsidP="00C84E7E">
      <w:pPr>
        <w:pStyle w:val="NoSpacing"/>
        <w:rPr>
          <w:szCs w:val="24"/>
        </w:rPr>
      </w:pPr>
    </w:p>
    <w:p w14:paraId="7C85D4B5" w14:textId="4F6E652E" w:rsidR="00C84E7E" w:rsidRPr="001B3304" w:rsidRDefault="00C84E7E" w:rsidP="00C84E7E">
      <w:pPr>
        <w:pStyle w:val="NoSpacing"/>
        <w:rPr>
          <w:szCs w:val="24"/>
        </w:rPr>
      </w:pPr>
      <w:r w:rsidRPr="001B3304">
        <w:rPr>
          <w:szCs w:val="24"/>
        </w:rPr>
        <w:t>Under ss.229(a)(</w:t>
      </w:r>
      <w:proofErr w:type="spellStart"/>
      <w:r w:rsidRPr="001B3304">
        <w:rPr>
          <w:szCs w:val="24"/>
        </w:rPr>
        <w:t>i</w:t>
      </w:r>
      <w:proofErr w:type="spellEnd"/>
      <w:r w:rsidRPr="001B3304">
        <w:rPr>
          <w:szCs w:val="24"/>
        </w:rPr>
        <w:t xml:space="preserve">), the question is whether the accused meant to cause death. This can be made out by either direct intention or oblique intention. </w:t>
      </w:r>
      <w:r w:rsidRPr="001B3304">
        <w:rPr>
          <w:szCs w:val="24"/>
        </w:rPr>
        <w:t>Direct intention exists if a person’s direct purpose in acting is to kill another. Oblique intention will exist if a person decides to carry out some other purpose in the knowledge that killing is virtually certain to result. In this latter situation, the intention to kill is oblique because although the person does not desire the death of the victim, they have accepted that the death of the victim is a virtually certain consequence of their act. The culpable intention is therefore derived not from their purpose in acting, but from their knowledge of the consequences of acting, whether those consequences are desired or not</w:t>
      </w:r>
      <w:r w:rsidRPr="001B3304">
        <w:rPr>
          <w:szCs w:val="24"/>
        </w:rPr>
        <w:t xml:space="preserve">. </w:t>
      </w:r>
      <w:r w:rsidRPr="001B3304">
        <w:rPr>
          <w:color w:val="000000"/>
          <w:szCs w:val="24"/>
        </w:rPr>
        <w:t>T</w:t>
      </w:r>
      <w:r w:rsidRPr="001B3304">
        <w:rPr>
          <w:color w:val="000000"/>
          <w:szCs w:val="24"/>
        </w:rPr>
        <w:t>t is not enough that the accused knows that death “may flow” or even will “probably flow” from their act:</w:t>
      </w:r>
      <w:r w:rsidRPr="001B3304">
        <w:rPr>
          <w:szCs w:val="24"/>
        </w:rPr>
        <w:t xml:space="preserve"> </w:t>
      </w:r>
      <w:r w:rsidRPr="001B3304">
        <w:rPr>
          <w:i/>
          <w:iCs/>
          <w:szCs w:val="24"/>
        </w:rPr>
        <w:t xml:space="preserve">R v </w:t>
      </w:r>
      <w:proofErr w:type="spellStart"/>
      <w:r w:rsidRPr="001B3304">
        <w:rPr>
          <w:i/>
          <w:iCs/>
          <w:szCs w:val="24"/>
        </w:rPr>
        <w:t>Aziga</w:t>
      </w:r>
      <w:proofErr w:type="spellEnd"/>
      <w:r w:rsidRPr="001B3304">
        <w:rPr>
          <w:i/>
          <w:iCs/>
          <w:szCs w:val="24"/>
        </w:rPr>
        <w:t xml:space="preserve">, </w:t>
      </w:r>
      <w:hyperlink r:id="rId66" w:history="1">
        <w:r w:rsidRPr="001B3304">
          <w:rPr>
            <w:rStyle w:val="Hyperlink"/>
            <w:szCs w:val="24"/>
          </w:rPr>
          <w:t>2023 ONCA 12</w:t>
        </w:r>
      </w:hyperlink>
      <w:r w:rsidRPr="001B3304">
        <w:rPr>
          <w:szCs w:val="24"/>
        </w:rPr>
        <w:t>, at paras 25-26</w:t>
      </w:r>
    </w:p>
    <w:p w14:paraId="353E2A8D" w14:textId="77777777" w:rsidR="00C84E7E" w:rsidRPr="00C84E7E" w:rsidRDefault="00C84E7E" w:rsidP="00C84E7E">
      <w:pPr>
        <w:rPr>
          <w:rFonts w:ascii="Arial" w:hAnsi="Arial" w:cs="Arial"/>
        </w:rPr>
      </w:pPr>
    </w:p>
    <w:p w14:paraId="3418E42C" w14:textId="77777777" w:rsidR="00C84E7E" w:rsidRPr="001B3304" w:rsidRDefault="00C84E7E" w:rsidP="00C84E7E">
      <w:pPr>
        <w:pStyle w:val="Heading3"/>
        <w:numPr>
          <w:ilvl w:val="0"/>
          <w:numId w:val="0"/>
        </w:numPr>
        <w:ind w:left="720" w:hanging="360"/>
      </w:pPr>
    </w:p>
    <w:p w14:paraId="5E66A573" w14:textId="7376E660" w:rsidR="00C84E7E" w:rsidRPr="001B3304" w:rsidRDefault="00C84E7E" w:rsidP="004358F8">
      <w:pPr>
        <w:pStyle w:val="Heading3"/>
        <w:numPr>
          <w:ilvl w:val="0"/>
          <w:numId w:val="43"/>
        </w:numPr>
      </w:pPr>
      <w:bookmarkStart w:id="60" w:name="_Toc134294100"/>
      <w:proofErr w:type="spellStart"/>
      <w:r w:rsidRPr="001B3304">
        <w:t>Mens</w:t>
      </w:r>
      <w:proofErr w:type="spellEnd"/>
      <w:r w:rsidRPr="001B3304">
        <w:t xml:space="preserve"> Rea under s.229(a)(ii)</w:t>
      </w:r>
      <w:bookmarkEnd w:id="60"/>
    </w:p>
    <w:p w14:paraId="7F2BF5CD" w14:textId="77777777" w:rsidR="00C84E7E" w:rsidRPr="001B3304" w:rsidRDefault="00C84E7E" w:rsidP="003E1822">
      <w:pPr>
        <w:pStyle w:val="NoSpacing"/>
        <w:rPr>
          <w:szCs w:val="24"/>
        </w:rPr>
      </w:pPr>
    </w:p>
    <w:p w14:paraId="3F4506BA" w14:textId="1C54E042" w:rsidR="002B00B8" w:rsidRPr="001B3304" w:rsidRDefault="002B00B8" w:rsidP="003E1822">
      <w:pPr>
        <w:pStyle w:val="NoSpacing"/>
        <w:rPr>
          <w:szCs w:val="24"/>
        </w:rPr>
      </w:pPr>
      <w:r w:rsidRPr="001B3304">
        <w:rPr>
          <w:szCs w:val="24"/>
        </w:rPr>
        <w:t>The requisite intent under </w:t>
      </w:r>
      <w:hyperlink r:id="rId67" w:anchor="docCont" w:tgtFrame="_blank" w:history="1">
        <w:r w:rsidRPr="001B3304">
          <w:rPr>
            <w:rStyle w:val="Hyperlink"/>
            <w:szCs w:val="24"/>
          </w:rPr>
          <w:t>s. 229(a)(ii)</w:t>
        </w:r>
      </w:hyperlink>
      <w:r w:rsidRPr="001B3304">
        <w:rPr>
          <w:szCs w:val="24"/>
        </w:rPr>
        <w:t> consists of the subjective intent to cause bodily harm and the subjective knowledge that bodily harm is of such a nature that it is likely to result in death. Subjective foresight of death is a requirement.</w:t>
      </w:r>
    </w:p>
    <w:p w14:paraId="561FE011" w14:textId="77777777" w:rsidR="002B00B8" w:rsidRPr="001B3304" w:rsidRDefault="002B00B8" w:rsidP="003E1822">
      <w:pPr>
        <w:pStyle w:val="NoSpacing"/>
        <w:rPr>
          <w:szCs w:val="24"/>
        </w:rPr>
      </w:pPr>
      <w:r w:rsidRPr="001B3304">
        <w:rPr>
          <w:szCs w:val="24"/>
        </w:rPr>
        <w:t> </w:t>
      </w:r>
    </w:p>
    <w:p w14:paraId="1FE3C57E" w14:textId="77777777" w:rsidR="002B00B8" w:rsidRPr="001B3304" w:rsidRDefault="002B00B8" w:rsidP="003E1822">
      <w:pPr>
        <w:pStyle w:val="NoSpacing"/>
        <w:rPr>
          <w:szCs w:val="24"/>
        </w:rPr>
      </w:pPr>
      <w:r w:rsidRPr="001B3304">
        <w:rPr>
          <w:szCs w:val="24"/>
        </w:rPr>
        <w:t> The recklessness component within s. 229(a)(ii) requires proof of knowledge that death will </w:t>
      </w:r>
      <w:r w:rsidRPr="001B3304">
        <w:rPr>
          <w:i/>
          <w:iCs/>
          <w:szCs w:val="24"/>
        </w:rPr>
        <w:t>likely</w:t>
      </w:r>
      <w:r w:rsidRPr="001B3304">
        <w:rPr>
          <w:szCs w:val="24"/>
        </w:rPr>
        <w:t xml:space="preserve"> result and a deliberate disregard for this consequence by going ahead anyway: </w:t>
      </w:r>
      <w:r w:rsidRPr="001B3304">
        <w:rPr>
          <w:i/>
          <w:szCs w:val="24"/>
        </w:rPr>
        <w:t xml:space="preserve">R  v </w:t>
      </w:r>
      <w:proofErr w:type="spellStart"/>
      <w:r w:rsidRPr="001B3304">
        <w:rPr>
          <w:i/>
          <w:szCs w:val="24"/>
        </w:rPr>
        <w:t>Zoldi</w:t>
      </w:r>
      <w:proofErr w:type="spellEnd"/>
      <w:r w:rsidRPr="001B3304">
        <w:rPr>
          <w:i/>
          <w:szCs w:val="24"/>
        </w:rPr>
        <w:t xml:space="preserve">, </w:t>
      </w:r>
      <w:hyperlink r:id="rId68" w:history="1">
        <w:r w:rsidRPr="001B3304">
          <w:rPr>
            <w:rStyle w:val="Hyperlink"/>
            <w:szCs w:val="24"/>
          </w:rPr>
          <w:t>2018 ONCA 384</w:t>
        </w:r>
      </w:hyperlink>
      <w:r w:rsidRPr="001B3304">
        <w:rPr>
          <w:szCs w:val="24"/>
        </w:rPr>
        <w:t xml:space="preserve"> at para 40</w:t>
      </w:r>
    </w:p>
    <w:p w14:paraId="001C3A09" w14:textId="77777777" w:rsidR="002B00B8" w:rsidRPr="001B3304" w:rsidRDefault="002B00B8" w:rsidP="003E1822">
      <w:pPr>
        <w:pStyle w:val="NoSpacing"/>
        <w:rPr>
          <w:szCs w:val="24"/>
        </w:rPr>
      </w:pPr>
    </w:p>
    <w:p w14:paraId="55EB14C7" w14:textId="77777777" w:rsidR="002B00B8" w:rsidRPr="001B3304" w:rsidRDefault="002B00B8" w:rsidP="003E1822">
      <w:pPr>
        <w:pStyle w:val="NoSpacing"/>
        <w:rPr>
          <w:szCs w:val="24"/>
        </w:rPr>
      </w:pPr>
      <w:r w:rsidRPr="001B3304">
        <w:rPr>
          <w:szCs w:val="24"/>
        </w:rPr>
        <w:t>The aspect of recklessness can be considered an afterthought, since [o]ne who causes bodily harm that he knows is likely to cause death must, in those circumstances, have a deliberate disregard for the fatal consequences which are known to be likely to occur. That is to say he must, of necessity, be reckless whether death ensues or not”: R v Van Every, </w:t>
      </w:r>
      <w:hyperlink r:id="rId69" w:tgtFrame="_blank" w:history="1">
        <w:r w:rsidRPr="001B3304">
          <w:rPr>
            <w:rStyle w:val="Hyperlink"/>
            <w:szCs w:val="24"/>
          </w:rPr>
          <w:t>2016 ONCA 087</w:t>
        </w:r>
      </w:hyperlink>
      <w:r w:rsidRPr="001B3304">
        <w:rPr>
          <w:szCs w:val="24"/>
        </w:rPr>
        <w:t> at para 48; </w:t>
      </w:r>
      <w:r w:rsidRPr="001B3304">
        <w:rPr>
          <w:i/>
          <w:iCs/>
          <w:szCs w:val="24"/>
        </w:rPr>
        <w:t>R v McCracken, </w:t>
      </w:r>
      <w:hyperlink r:id="rId70" w:tgtFrame="_blank" w:history="1">
        <w:r w:rsidRPr="001B3304">
          <w:rPr>
            <w:rStyle w:val="Hyperlink"/>
            <w:szCs w:val="24"/>
          </w:rPr>
          <w:t>2016 ONCA 228</w:t>
        </w:r>
      </w:hyperlink>
      <w:r w:rsidRPr="001B3304">
        <w:rPr>
          <w:szCs w:val="24"/>
        </w:rPr>
        <w:t xml:space="preserve"> at para 98; </w:t>
      </w:r>
      <w:proofErr w:type="spellStart"/>
      <w:r w:rsidRPr="001B3304">
        <w:rPr>
          <w:i/>
          <w:szCs w:val="24"/>
        </w:rPr>
        <w:t>Zoldi</w:t>
      </w:r>
      <w:proofErr w:type="spellEnd"/>
      <w:r w:rsidRPr="001B3304">
        <w:rPr>
          <w:i/>
          <w:szCs w:val="24"/>
        </w:rPr>
        <w:t xml:space="preserve"> </w:t>
      </w:r>
      <w:r w:rsidRPr="001B3304">
        <w:rPr>
          <w:szCs w:val="24"/>
        </w:rPr>
        <w:t>at para 40</w:t>
      </w:r>
    </w:p>
    <w:p w14:paraId="420EBEC4" w14:textId="77777777" w:rsidR="002B00B8" w:rsidRPr="001B3304" w:rsidRDefault="002B00B8" w:rsidP="003E1822">
      <w:pPr>
        <w:pStyle w:val="NoSpacing"/>
        <w:rPr>
          <w:szCs w:val="24"/>
        </w:rPr>
      </w:pPr>
    </w:p>
    <w:p w14:paraId="4AB94988" w14:textId="77777777" w:rsidR="002B00B8" w:rsidRPr="001B3304" w:rsidRDefault="002B00B8" w:rsidP="003E1822">
      <w:pPr>
        <w:pStyle w:val="NoSpacing"/>
        <w:rPr>
          <w:szCs w:val="24"/>
        </w:rPr>
      </w:pPr>
      <w:r w:rsidRPr="001B3304">
        <w:rPr>
          <w:szCs w:val="24"/>
        </w:rPr>
        <w:lastRenderedPageBreak/>
        <w:t>The key issue is whether the jury would, in the context of the charge as a whole, have understood that the accused must foresee a likelihood of death flowing from the bodily harm that he or she is occasioning the victim: </w:t>
      </w:r>
      <w:r w:rsidRPr="001B3304">
        <w:rPr>
          <w:i/>
          <w:iCs/>
          <w:szCs w:val="24"/>
        </w:rPr>
        <w:t>McCracken </w:t>
      </w:r>
      <w:r w:rsidRPr="001B3304">
        <w:rPr>
          <w:szCs w:val="24"/>
        </w:rPr>
        <w:t>at para 102</w:t>
      </w:r>
    </w:p>
    <w:p w14:paraId="4146C890" w14:textId="77777777" w:rsidR="002B00B8" w:rsidRPr="001B3304" w:rsidRDefault="002B00B8" w:rsidP="003E1822">
      <w:pPr>
        <w:pStyle w:val="NoSpacing"/>
        <w:rPr>
          <w:szCs w:val="24"/>
        </w:rPr>
      </w:pPr>
      <w:r w:rsidRPr="001B3304">
        <w:rPr>
          <w:szCs w:val="24"/>
        </w:rPr>
        <w:t> </w:t>
      </w:r>
    </w:p>
    <w:p w14:paraId="4CD8EB34" w14:textId="77777777" w:rsidR="002B00B8" w:rsidRPr="001B3304" w:rsidRDefault="002B00B8" w:rsidP="003E1822">
      <w:pPr>
        <w:pStyle w:val="font7"/>
        <w:spacing w:before="0" w:beforeAutospacing="0" w:after="0" w:afterAutospacing="0" w:line="276" w:lineRule="auto"/>
        <w:jc w:val="both"/>
        <w:textAlignment w:val="baseline"/>
        <w:rPr>
          <w:rStyle w:val="wixguard"/>
          <w:rFonts w:ascii="Arial" w:hAnsi="Arial" w:cs="Arial"/>
          <w:color w:val="4D4B4B"/>
          <w:sz w:val="24"/>
          <w:szCs w:val="24"/>
          <w:bdr w:val="none" w:sz="0" w:space="0" w:color="auto" w:frame="1"/>
        </w:rPr>
      </w:pPr>
      <w:r w:rsidRPr="001B3304">
        <w:rPr>
          <w:rStyle w:val="wixguard"/>
          <w:rFonts w:ascii="Arial" w:hAnsi="Arial" w:cs="Arial"/>
          <w:color w:val="4D4B4B"/>
          <w:sz w:val="24"/>
          <w:szCs w:val="24"/>
          <w:bdr w:val="none" w:sz="0" w:space="0" w:color="auto" w:frame="1"/>
        </w:rPr>
        <w:t>​</w:t>
      </w:r>
    </w:p>
    <w:p w14:paraId="38C3FB57" w14:textId="5A691360" w:rsidR="002B00B8" w:rsidRPr="001B3304" w:rsidRDefault="002B00B8" w:rsidP="003E1822">
      <w:pPr>
        <w:pStyle w:val="NoSpacing"/>
        <w:rPr>
          <w:szCs w:val="24"/>
        </w:rPr>
      </w:pPr>
      <w:r w:rsidRPr="001B3304">
        <w:rPr>
          <w:szCs w:val="24"/>
        </w:rPr>
        <w:t xml:space="preserve">A driver’s failure to apply the brakes upon striking a pedestrian is capable of providing some insight into whether the driver deliberately, as opposed to accidentally, struck the pedestrian. The insight is even stronger when the driver strikes the pedestrian with the front of his vehicle: </w:t>
      </w:r>
      <w:r w:rsidRPr="001B3304">
        <w:rPr>
          <w:i/>
          <w:szCs w:val="24"/>
        </w:rPr>
        <w:t xml:space="preserve">R v </w:t>
      </w:r>
      <w:proofErr w:type="spellStart"/>
      <w:r w:rsidRPr="001B3304">
        <w:rPr>
          <w:i/>
          <w:szCs w:val="24"/>
        </w:rPr>
        <w:t>Ariarathnam</w:t>
      </w:r>
      <w:proofErr w:type="spellEnd"/>
      <w:r w:rsidRPr="001B3304">
        <w:rPr>
          <w:i/>
          <w:szCs w:val="24"/>
        </w:rPr>
        <w:t xml:space="preserve">, </w:t>
      </w:r>
      <w:hyperlink r:id="rId71" w:history="1">
        <w:r w:rsidRPr="001B3304">
          <w:rPr>
            <w:rStyle w:val="Hyperlink"/>
            <w:szCs w:val="24"/>
          </w:rPr>
          <w:t>2018 ONCA 1027</w:t>
        </w:r>
      </w:hyperlink>
      <w:r w:rsidRPr="001B3304">
        <w:rPr>
          <w:szCs w:val="24"/>
        </w:rPr>
        <w:t>, at para 37</w:t>
      </w:r>
    </w:p>
    <w:p w14:paraId="0C192D75" w14:textId="3CF1A457" w:rsidR="00851643" w:rsidRPr="001B3304" w:rsidRDefault="00851643" w:rsidP="003E1822">
      <w:pPr>
        <w:pStyle w:val="NoSpacing"/>
        <w:rPr>
          <w:szCs w:val="24"/>
        </w:rPr>
      </w:pPr>
    </w:p>
    <w:p w14:paraId="518DFD17" w14:textId="1F796493" w:rsidR="002B00B8" w:rsidRPr="001B3304" w:rsidRDefault="00851643" w:rsidP="003E1822">
      <w:pPr>
        <w:pStyle w:val="NoSpacing"/>
        <w:rPr>
          <w:szCs w:val="24"/>
        </w:rPr>
      </w:pPr>
      <w:r w:rsidRPr="001B3304">
        <w:rPr>
          <w:szCs w:val="24"/>
        </w:rPr>
        <w:t>Lack of life experience affects the level of maturity and can affect the ability of youths to foresee the consequences of their actions. Youthful age and maturity  are relevant considerations for the trier of fact in determining whether or not it is appropriate to draw the common sense inference that the accused actually intended the natural consequences of his/her actions in the circumstances of a given case. Whether or not the inference is ultimately drawn will depend on the evidence before the trial judge: </w:t>
      </w:r>
      <w:r w:rsidRPr="001B3304">
        <w:rPr>
          <w:i/>
          <w:iCs/>
          <w:szCs w:val="24"/>
        </w:rPr>
        <w:t xml:space="preserve">R v SK, </w:t>
      </w:r>
      <w:hyperlink r:id="rId72" w:history="1">
        <w:r w:rsidRPr="001B3304">
          <w:rPr>
            <w:rStyle w:val="Hyperlink"/>
            <w:szCs w:val="24"/>
          </w:rPr>
          <w:t>2019 ONCA 776</w:t>
        </w:r>
      </w:hyperlink>
      <w:r w:rsidRPr="001B3304">
        <w:rPr>
          <w:szCs w:val="24"/>
        </w:rPr>
        <w:t>, at para 76, 88</w:t>
      </w:r>
    </w:p>
    <w:p w14:paraId="0E89615C" w14:textId="77777777" w:rsidR="00C84E7E" w:rsidRPr="001B3304" w:rsidRDefault="00C84E7E" w:rsidP="003E1822">
      <w:pPr>
        <w:pStyle w:val="NoSpacing"/>
        <w:rPr>
          <w:szCs w:val="24"/>
        </w:rPr>
      </w:pPr>
    </w:p>
    <w:p w14:paraId="7CD384D2" w14:textId="10B756C5" w:rsidR="00C84E7E" w:rsidRPr="001B3304" w:rsidRDefault="00C84E7E" w:rsidP="00C84E7E">
      <w:pPr>
        <w:pStyle w:val="Heading3"/>
      </w:pPr>
      <w:bookmarkStart w:id="61" w:name="_Toc134294101"/>
      <w:proofErr w:type="spellStart"/>
      <w:r w:rsidRPr="001B3304">
        <w:t>Mens</w:t>
      </w:r>
      <w:proofErr w:type="spellEnd"/>
      <w:r w:rsidRPr="001B3304">
        <w:t xml:space="preserve"> Rea and Rolled Up Instruction Issues</w:t>
      </w:r>
      <w:bookmarkEnd w:id="61"/>
    </w:p>
    <w:p w14:paraId="2C27BCB1" w14:textId="77777777" w:rsidR="00C84E7E" w:rsidRPr="001B3304" w:rsidRDefault="00C84E7E" w:rsidP="003E1822">
      <w:pPr>
        <w:pStyle w:val="NoSpacing"/>
        <w:rPr>
          <w:szCs w:val="24"/>
        </w:rPr>
      </w:pPr>
    </w:p>
    <w:p w14:paraId="30597623" w14:textId="77777777" w:rsidR="00C84E7E" w:rsidRPr="001B3304" w:rsidRDefault="00C84E7E" w:rsidP="00C84E7E">
      <w:pPr>
        <w:pStyle w:val="NoSpacing"/>
        <w:rPr>
          <w:szCs w:val="24"/>
        </w:rPr>
      </w:pPr>
      <w:r w:rsidRPr="001B3304">
        <w:rPr>
          <w:szCs w:val="24"/>
        </w:rPr>
        <w:t>Mental illness is capable of undermining the mental element for murder in s. 229(a) (thereby reducing liability from second-degree murder to manslaughter): </w:t>
      </w:r>
      <w:r w:rsidRPr="001B3304">
        <w:rPr>
          <w:i/>
          <w:iCs/>
          <w:szCs w:val="24"/>
        </w:rPr>
        <w:t>R v Spence, </w:t>
      </w:r>
      <w:hyperlink r:id="rId73" w:tgtFrame="_blank" w:history="1">
        <w:r w:rsidRPr="001B3304">
          <w:rPr>
            <w:rStyle w:val="Hyperlink"/>
            <w:szCs w:val="24"/>
          </w:rPr>
          <w:t>2017 ONCA 619</w:t>
        </w:r>
      </w:hyperlink>
      <w:r w:rsidRPr="001B3304">
        <w:rPr>
          <w:szCs w:val="24"/>
        </w:rPr>
        <w:t> at para 49</w:t>
      </w:r>
    </w:p>
    <w:p w14:paraId="3C053F48" w14:textId="77777777" w:rsidR="00C84E7E" w:rsidRPr="001B3304" w:rsidRDefault="00C84E7E" w:rsidP="003E1822">
      <w:pPr>
        <w:pStyle w:val="NoSpacing"/>
        <w:rPr>
          <w:szCs w:val="24"/>
        </w:rPr>
      </w:pPr>
    </w:p>
    <w:p w14:paraId="0AD23225" w14:textId="77777777" w:rsidR="003769F6" w:rsidRPr="001B3304" w:rsidRDefault="003769F6" w:rsidP="003769F6">
      <w:pPr>
        <w:pStyle w:val="NoSpacing"/>
        <w:rPr>
          <w:szCs w:val="24"/>
        </w:rPr>
      </w:pPr>
      <w:r w:rsidRPr="001B3304">
        <w:rPr>
          <w:szCs w:val="24"/>
        </w:rPr>
        <w:t>A jury should be instructed that they are to consider evidence of an accused’s consumption of alcohol and drugs, together with evidence of the other circumstances surrounding an unlawful killing, in deciding whether the Crown has proven the mental or fault element required for murder beyond reasonable doubt.</w:t>
      </w:r>
    </w:p>
    <w:p w14:paraId="69BDCD02" w14:textId="30CEDBC7" w:rsidR="003769F6" w:rsidRPr="001B3304" w:rsidRDefault="003769F6" w:rsidP="003769F6">
      <w:pPr>
        <w:pStyle w:val="NoSpacing"/>
        <w:rPr>
          <w:szCs w:val="24"/>
        </w:rPr>
      </w:pPr>
      <w:r w:rsidRPr="001B3304">
        <w:rPr>
          <w:szCs w:val="24"/>
        </w:rPr>
        <w:t> </w:t>
      </w:r>
    </w:p>
    <w:p w14:paraId="01950E2C" w14:textId="03854D26" w:rsidR="003769F6" w:rsidRPr="001B3304" w:rsidRDefault="003769F6" w:rsidP="003769F6">
      <w:pPr>
        <w:pStyle w:val="NoSpacing"/>
        <w:rPr>
          <w:szCs w:val="24"/>
        </w:rPr>
      </w:pPr>
      <w:r w:rsidRPr="001B3304">
        <w:rPr>
          <w:szCs w:val="24"/>
        </w:rPr>
        <w:t xml:space="preserve">The purpose of the “rolled-up” instruction is to advise the jury not to take a compartmentalized approach to the evidence by considering it only in connection with a discrete </w:t>
      </w:r>
      <w:proofErr w:type="spellStart"/>
      <w:r w:rsidRPr="001B3304">
        <w:rPr>
          <w:szCs w:val="24"/>
        </w:rPr>
        <w:t>defence</w:t>
      </w:r>
      <w:proofErr w:type="spellEnd"/>
      <w:r w:rsidRPr="001B3304">
        <w:rPr>
          <w:szCs w:val="24"/>
        </w:rPr>
        <w:t xml:space="preserve">, such as intoxication. The “rolled-up” instruction ensures that the jury understands that the probative value of evidence, for example of intoxication, is not spent simply because they reject the substantive </w:t>
      </w:r>
      <w:proofErr w:type="spellStart"/>
      <w:r w:rsidRPr="001B3304">
        <w:rPr>
          <w:szCs w:val="24"/>
        </w:rPr>
        <w:t>defence</w:t>
      </w:r>
      <w:proofErr w:type="spellEnd"/>
      <w:r w:rsidRPr="001B3304">
        <w:rPr>
          <w:szCs w:val="24"/>
        </w:rPr>
        <w:t xml:space="preserve"> to which it relates. Insufficient on its own to raise a reasonable doubt about proof of the mental or fault element in murder, evidence of intoxication may gain sufficient strength, when combined with other evidence, to do so. No specific word formula </w:t>
      </w:r>
      <w:r w:rsidRPr="001B3304">
        <w:rPr>
          <w:szCs w:val="24"/>
        </w:rPr>
        <w:lastRenderedPageBreak/>
        <w:t xml:space="preserve">need be followed to convey this principle to the jury: </w:t>
      </w:r>
      <w:r w:rsidRPr="001B3304">
        <w:rPr>
          <w:i/>
          <w:iCs/>
          <w:szCs w:val="24"/>
        </w:rPr>
        <w:t xml:space="preserve">R v </w:t>
      </w:r>
      <w:proofErr w:type="spellStart"/>
      <w:r w:rsidRPr="001B3304">
        <w:rPr>
          <w:i/>
          <w:iCs/>
          <w:szCs w:val="24"/>
        </w:rPr>
        <w:t>Debassige</w:t>
      </w:r>
      <w:proofErr w:type="spellEnd"/>
      <w:r w:rsidRPr="001B3304">
        <w:rPr>
          <w:i/>
          <w:iCs/>
          <w:szCs w:val="24"/>
        </w:rPr>
        <w:t xml:space="preserve">, </w:t>
      </w:r>
      <w:hyperlink r:id="rId74" w:history="1">
        <w:r w:rsidRPr="001B3304">
          <w:rPr>
            <w:rStyle w:val="Hyperlink"/>
            <w:szCs w:val="24"/>
          </w:rPr>
          <w:t>2021 ONCA 484</w:t>
        </w:r>
      </w:hyperlink>
      <w:r w:rsidRPr="001B3304">
        <w:rPr>
          <w:szCs w:val="24"/>
        </w:rPr>
        <w:t>, at paras 78-82</w:t>
      </w:r>
    </w:p>
    <w:p w14:paraId="63B6E15C" w14:textId="77777777" w:rsidR="00CF1EEC" w:rsidRPr="001B3304" w:rsidRDefault="00CF1EEC" w:rsidP="003E1822">
      <w:pPr>
        <w:pStyle w:val="font7"/>
        <w:spacing w:before="0" w:beforeAutospacing="0" w:after="0" w:afterAutospacing="0" w:line="276" w:lineRule="auto"/>
        <w:jc w:val="both"/>
        <w:textAlignment w:val="baseline"/>
        <w:rPr>
          <w:rFonts w:ascii="Arial" w:hAnsi="Arial" w:cs="Arial"/>
          <w:color w:val="4D4B4B"/>
          <w:sz w:val="24"/>
          <w:szCs w:val="24"/>
        </w:rPr>
      </w:pPr>
    </w:p>
    <w:p w14:paraId="5235F684" w14:textId="6BCFB170" w:rsidR="00C30854" w:rsidRPr="001B3304" w:rsidRDefault="00C30854" w:rsidP="004358F8">
      <w:pPr>
        <w:pStyle w:val="Heading3"/>
      </w:pPr>
      <w:bookmarkStart w:id="62" w:name="_Toc134294102"/>
      <w:r w:rsidRPr="001B3304">
        <w:t>Causation</w:t>
      </w:r>
      <w:bookmarkEnd w:id="62"/>
      <w:r w:rsidRPr="001B3304">
        <w:t xml:space="preserve"> </w:t>
      </w:r>
    </w:p>
    <w:p w14:paraId="4F3335F1" w14:textId="19D71598" w:rsidR="002B00B8" w:rsidRPr="001B3304" w:rsidRDefault="002B00B8" w:rsidP="003E1822">
      <w:pPr>
        <w:pStyle w:val="NoSpacing"/>
        <w:rPr>
          <w:rStyle w:val="wixguard"/>
          <w:color w:val="4D4B4B"/>
          <w:szCs w:val="24"/>
        </w:rPr>
      </w:pPr>
      <w:r w:rsidRPr="001B3304">
        <w:rPr>
          <w:rStyle w:val="wixguard"/>
          <w:color w:val="4D4B4B"/>
          <w:szCs w:val="24"/>
        </w:rPr>
        <w:t>​</w:t>
      </w:r>
    </w:p>
    <w:p w14:paraId="242E14F6" w14:textId="71CFA921" w:rsidR="00C30854" w:rsidRPr="001B3304" w:rsidRDefault="00C30854" w:rsidP="003E1822">
      <w:pPr>
        <w:pStyle w:val="NoSpacing"/>
        <w:rPr>
          <w:rFonts w:eastAsia="Times New Roman"/>
          <w:szCs w:val="24"/>
          <w:lang w:val="en-CA"/>
        </w:rPr>
      </w:pPr>
      <w:r w:rsidRPr="001B3304">
        <w:rPr>
          <w:rFonts w:eastAsia="Times New Roman"/>
          <w:color w:val="000000"/>
          <w:szCs w:val="24"/>
          <w:lang w:val="en-CA"/>
        </w:rPr>
        <w:t xml:space="preserve">The issue of causation is for the jury and not the experts. The jury’s finding of causation must be assessed in light of the entire record. A jury does not necessarily need medical evidence to establish causation. </w:t>
      </w:r>
    </w:p>
    <w:p w14:paraId="35B4D76F" w14:textId="77777777" w:rsidR="00C30854" w:rsidRPr="001B3304" w:rsidRDefault="00C30854" w:rsidP="003E1822">
      <w:pPr>
        <w:pStyle w:val="NoSpacing"/>
        <w:rPr>
          <w:rFonts w:eastAsia="Times New Roman"/>
          <w:color w:val="000000"/>
          <w:szCs w:val="24"/>
          <w:lang w:val="en-CA"/>
        </w:rPr>
      </w:pPr>
    </w:p>
    <w:p w14:paraId="1C00CA68" w14:textId="2A670210" w:rsidR="00C30854" w:rsidRPr="001B3304" w:rsidRDefault="00C30854" w:rsidP="003E1822">
      <w:pPr>
        <w:pStyle w:val="NoSpacing"/>
        <w:rPr>
          <w:rFonts w:eastAsia="Times New Roman"/>
          <w:color w:val="000000"/>
          <w:szCs w:val="24"/>
          <w:lang w:val="en-CA"/>
        </w:rPr>
      </w:pPr>
      <w:r w:rsidRPr="001B3304">
        <w:rPr>
          <w:rFonts w:eastAsia="Times New Roman"/>
          <w:color w:val="000000"/>
          <w:szCs w:val="24"/>
          <w:lang w:val="en-CA"/>
        </w:rPr>
        <w:t>If the accused’s actions accelerated the victim’s death, that would meet the legal definition of a significant cause of death: </w:t>
      </w:r>
      <w:r w:rsidRPr="001B3304">
        <w:rPr>
          <w:rFonts w:eastAsia="Times New Roman"/>
          <w:i/>
          <w:color w:val="000000"/>
          <w:szCs w:val="24"/>
          <w:lang w:val="en-CA"/>
        </w:rPr>
        <w:t xml:space="preserve">R v Hong, </w:t>
      </w:r>
      <w:hyperlink r:id="rId75" w:history="1">
        <w:r w:rsidRPr="001B3304">
          <w:rPr>
            <w:rStyle w:val="Hyperlink"/>
            <w:rFonts w:eastAsia="Times New Roman"/>
            <w:szCs w:val="24"/>
            <w:lang w:val="en-CA"/>
          </w:rPr>
          <w:t>2019 ONCA 170</w:t>
        </w:r>
      </w:hyperlink>
      <w:r w:rsidRPr="001B3304">
        <w:rPr>
          <w:rFonts w:eastAsia="Times New Roman"/>
          <w:color w:val="000000"/>
          <w:szCs w:val="24"/>
          <w:lang w:val="en-CA"/>
        </w:rPr>
        <w:t xml:space="preserve">, at paras 23, 24, 28. </w:t>
      </w:r>
    </w:p>
    <w:p w14:paraId="4CC6E7D1" w14:textId="05B82C20" w:rsidR="00D061A9" w:rsidRPr="001B3304" w:rsidRDefault="00D061A9" w:rsidP="003E1822">
      <w:pPr>
        <w:pStyle w:val="NoSpacing"/>
        <w:rPr>
          <w:rFonts w:eastAsia="Times New Roman"/>
          <w:color w:val="000000"/>
          <w:szCs w:val="24"/>
          <w:lang w:val="en-CA"/>
        </w:rPr>
      </w:pPr>
    </w:p>
    <w:p w14:paraId="05816A05" w14:textId="0F14231D" w:rsidR="00D061A9" w:rsidRPr="001B3304" w:rsidRDefault="00D061A9" w:rsidP="003E1822">
      <w:pPr>
        <w:pStyle w:val="NoSpacing"/>
        <w:rPr>
          <w:szCs w:val="24"/>
        </w:rPr>
      </w:pPr>
      <w:r w:rsidRPr="001B3304">
        <w:rPr>
          <w:szCs w:val="24"/>
        </w:rPr>
        <w:t xml:space="preserve">In order for a particular theory of factual causation to be open to the trier of fact to consider, it must have an air of reality. In other words, there must be some evidence upon which a properly instructed jury could find that the deceased’s death was caused, “in a medical, mechanical, or physical sense,” in that particular manner, beyond a reasonable doubt. In determining whether an evidentiary basis exists strong enough to establish an air of reality, any and all evidence that bears upon the question of factual causation is to be considered, including both expert and non-expert evidence. In reviewing the evidence, the trial judge must be careful not to evaluate the quality, weight or reliability of the evidence, but rather must simply decide whether the evidentiary burden has been met: </w:t>
      </w:r>
      <w:r w:rsidRPr="001B3304">
        <w:rPr>
          <w:i/>
          <w:iCs/>
          <w:szCs w:val="24"/>
        </w:rPr>
        <w:t xml:space="preserve">R v </w:t>
      </w:r>
      <w:proofErr w:type="spellStart"/>
      <w:r w:rsidRPr="001B3304">
        <w:rPr>
          <w:i/>
          <w:iCs/>
          <w:szCs w:val="24"/>
        </w:rPr>
        <w:t>Biddersingh</w:t>
      </w:r>
      <w:proofErr w:type="spellEnd"/>
      <w:r w:rsidRPr="001B3304">
        <w:rPr>
          <w:i/>
          <w:iCs/>
          <w:szCs w:val="24"/>
        </w:rPr>
        <w:t xml:space="preserve">, </w:t>
      </w:r>
      <w:hyperlink r:id="rId76" w:history="1">
        <w:r w:rsidRPr="001B3304">
          <w:rPr>
            <w:rStyle w:val="Hyperlink"/>
            <w:szCs w:val="24"/>
          </w:rPr>
          <w:t>2020 ONCA 241</w:t>
        </w:r>
      </w:hyperlink>
      <w:r w:rsidRPr="001B3304">
        <w:rPr>
          <w:szCs w:val="24"/>
        </w:rPr>
        <w:t>, at para 57 </w:t>
      </w:r>
    </w:p>
    <w:p w14:paraId="6B641E17" w14:textId="19B54660" w:rsidR="00C30854" w:rsidRPr="001B3304" w:rsidRDefault="00C30854" w:rsidP="003E1822">
      <w:pPr>
        <w:pStyle w:val="font7"/>
        <w:spacing w:before="0" w:beforeAutospacing="0" w:after="0" w:afterAutospacing="0" w:line="276" w:lineRule="auto"/>
        <w:jc w:val="both"/>
        <w:textAlignment w:val="baseline"/>
        <w:rPr>
          <w:rFonts w:ascii="Arial" w:hAnsi="Arial" w:cs="Arial"/>
          <w:color w:val="4D4B4B"/>
          <w:sz w:val="24"/>
          <w:szCs w:val="24"/>
        </w:rPr>
      </w:pPr>
    </w:p>
    <w:p w14:paraId="5A59A385" w14:textId="240D48A4" w:rsidR="000B4204" w:rsidRPr="001B3304" w:rsidRDefault="000B4204" w:rsidP="004358F8">
      <w:pPr>
        <w:pStyle w:val="Heading3"/>
      </w:pPr>
      <w:bookmarkStart w:id="63" w:name="_Toc134294103"/>
      <w:r w:rsidRPr="001B3304">
        <w:t>Party Liability</w:t>
      </w:r>
      <w:bookmarkEnd w:id="63"/>
    </w:p>
    <w:p w14:paraId="2CA8878F" w14:textId="20C594EB" w:rsidR="000B4204" w:rsidRPr="001B3304" w:rsidRDefault="000B4204" w:rsidP="003E1822">
      <w:pPr>
        <w:pStyle w:val="NoSpacing"/>
        <w:rPr>
          <w:szCs w:val="24"/>
        </w:rPr>
      </w:pPr>
      <w:r w:rsidRPr="001B3304">
        <w:rPr>
          <w:szCs w:val="24"/>
        </w:rPr>
        <w:t>The </w:t>
      </w:r>
      <w:proofErr w:type="spellStart"/>
      <w:r w:rsidRPr="001B3304">
        <w:rPr>
          <w:i/>
          <w:iCs/>
          <w:szCs w:val="24"/>
        </w:rPr>
        <w:t>mens</w:t>
      </w:r>
      <w:proofErr w:type="spellEnd"/>
      <w:r w:rsidRPr="001B3304">
        <w:rPr>
          <w:i/>
          <w:iCs/>
          <w:szCs w:val="24"/>
        </w:rPr>
        <w:t xml:space="preserve"> rea</w:t>
      </w:r>
      <w:r w:rsidRPr="001B3304">
        <w:rPr>
          <w:szCs w:val="24"/>
        </w:rPr>
        <w:t> requirement under s. 229(a) applies to the perpetrator. The aider’s </w:t>
      </w:r>
      <w:proofErr w:type="spellStart"/>
      <w:r w:rsidRPr="001B3304">
        <w:rPr>
          <w:i/>
          <w:iCs/>
          <w:szCs w:val="24"/>
        </w:rPr>
        <w:t>mens</w:t>
      </w:r>
      <w:proofErr w:type="spellEnd"/>
      <w:r w:rsidRPr="001B3304">
        <w:rPr>
          <w:i/>
          <w:iCs/>
          <w:szCs w:val="24"/>
        </w:rPr>
        <w:t xml:space="preserve"> rea</w:t>
      </w:r>
      <w:r w:rsidRPr="001B3304">
        <w:rPr>
          <w:szCs w:val="24"/>
        </w:rPr>
        <w:t xml:space="preserve"> is different. To be guilty of murder, the aider must know that the perpetrator had the requisite intent and the aider must intend to assist the perpetrator in the homicide: </w:t>
      </w:r>
      <w:r w:rsidRPr="001B3304">
        <w:rPr>
          <w:i/>
          <w:iCs/>
          <w:szCs w:val="24"/>
        </w:rPr>
        <w:t xml:space="preserve">R v Josipovic, </w:t>
      </w:r>
      <w:hyperlink r:id="rId77" w:history="1">
        <w:r w:rsidRPr="001B3304">
          <w:rPr>
            <w:rStyle w:val="Hyperlink"/>
            <w:szCs w:val="24"/>
          </w:rPr>
          <w:t>2019 ONCA 633</w:t>
        </w:r>
      </w:hyperlink>
      <w:r w:rsidRPr="001B3304">
        <w:rPr>
          <w:szCs w:val="24"/>
        </w:rPr>
        <w:t>, at para 50</w:t>
      </w:r>
    </w:p>
    <w:p w14:paraId="56EEAC99" w14:textId="1D605063" w:rsidR="000B4204" w:rsidRPr="001B3304" w:rsidRDefault="000B4204" w:rsidP="003E1822">
      <w:pPr>
        <w:pStyle w:val="NoSpacing"/>
        <w:rPr>
          <w:szCs w:val="24"/>
        </w:rPr>
      </w:pPr>
    </w:p>
    <w:p w14:paraId="48E16270" w14:textId="5E3AFDC0" w:rsidR="000B4204" w:rsidRPr="001B3304" w:rsidRDefault="000B4204" w:rsidP="003E1822">
      <w:pPr>
        <w:pStyle w:val="NoSpacing"/>
        <w:rPr>
          <w:szCs w:val="24"/>
        </w:rPr>
      </w:pPr>
      <w:r w:rsidRPr="001B3304">
        <w:rPr>
          <w:szCs w:val="24"/>
        </w:rPr>
        <w:t xml:space="preserve">  An aider is not necessarily guilty of the same offence as the perpetrator. An aider may not know that the perpetrator intends to commit murder. In that case, the aider is guilty of manslaughter, even if the perpetrator is guilty of murder: </w:t>
      </w:r>
      <w:r w:rsidRPr="001B3304">
        <w:rPr>
          <w:i/>
          <w:iCs/>
          <w:szCs w:val="24"/>
        </w:rPr>
        <w:t xml:space="preserve">R v Josipovic, </w:t>
      </w:r>
      <w:hyperlink r:id="rId78" w:history="1">
        <w:r w:rsidRPr="001B3304">
          <w:rPr>
            <w:rStyle w:val="Hyperlink"/>
            <w:szCs w:val="24"/>
          </w:rPr>
          <w:t>2019 ONCA 633</w:t>
        </w:r>
      </w:hyperlink>
      <w:r w:rsidRPr="001B3304">
        <w:rPr>
          <w:szCs w:val="24"/>
        </w:rPr>
        <w:t>, at para 72</w:t>
      </w:r>
    </w:p>
    <w:p w14:paraId="12F8A189" w14:textId="67C94302" w:rsidR="000B4204" w:rsidRPr="001B3304" w:rsidRDefault="000B4204" w:rsidP="003E1822">
      <w:pPr>
        <w:pStyle w:val="NoSpacing"/>
        <w:rPr>
          <w:szCs w:val="24"/>
        </w:rPr>
      </w:pPr>
    </w:p>
    <w:p w14:paraId="2F1C9638" w14:textId="0B6B0A4C" w:rsidR="00777315" w:rsidRPr="001B3304" w:rsidRDefault="00777315" w:rsidP="003E1822">
      <w:pPr>
        <w:pStyle w:val="NoSpacing"/>
        <w:rPr>
          <w:szCs w:val="24"/>
        </w:rPr>
      </w:pPr>
    </w:p>
    <w:p w14:paraId="2476B138" w14:textId="07ED23BE" w:rsidR="00777315" w:rsidRPr="001B3304" w:rsidRDefault="00777315" w:rsidP="003E1822">
      <w:pPr>
        <w:pStyle w:val="NoSpacing"/>
        <w:rPr>
          <w:szCs w:val="24"/>
        </w:rPr>
      </w:pPr>
    </w:p>
    <w:p w14:paraId="2F80EDEA" w14:textId="77777777" w:rsidR="00777315" w:rsidRPr="001B3304" w:rsidRDefault="00777315" w:rsidP="003E1822">
      <w:pPr>
        <w:pStyle w:val="NoSpacing"/>
        <w:rPr>
          <w:szCs w:val="24"/>
        </w:rPr>
      </w:pPr>
    </w:p>
    <w:p w14:paraId="7AA94F8A" w14:textId="7E74C4FD" w:rsidR="002B00B8" w:rsidRPr="001B3304" w:rsidRDefault="00DD6403" w:rsidP="003E1822">
      <w:pPr>
        <w:pStyle w:val="Heading2"/>
        <w:spacing w:line="276" w:lineRule="auto"/>
        <w:rPr>
          <w:color w:val="4D4B4B"/>
        </w:rPr>
      </w:pPr>
      <w:bookmarkStart w:id="64" w:name="_Toc134294104"/>
      <w:r w:rsidRPr="001B3304">
        <w:t>F</w:t>
      </w:r>
      <w:r w:rsidR="002B00B8" w:rsidRPr="001B3304">
        <w:t>irst degree murder</w:t>
      </w:r>
      <w:r w:rsidR="002E496F" w:rsidRPr="001B3304">
        <w:t>: s.231</w:t>
      </w:r>
      <w:bookmarkEnd w:id="64"/>
    </w:p>
    <w:p w14:paraId="4C5D5E0A" w14:textId="4CBA68C6" w:rsidR="002B00B8" w:rsidRPr="001B3304" w:rsidRDefault="002B00B8" w:rsidP="004358F8">
      <w:pPr>
        <w:pStyle w:val="Heading3"/>
        <w:numPr>
          <w:ilvl w:val="0"/>
          <w:numId w:val="44"/>
        </w:numPr>
      </w:pPr>
      <w:bookmarkStart w:id="65" w:name="_Toc134294105"/>
      <w:r w:rsidRPr="001B3304">
        <w:t>Planned and Deliberate Murder</w:t>
      </w:r>
      <w:r w:rsidR="002E496F" w:rsidRPr="001B3304">
        <w:t>: s.231(2)</w:t>
      </w:r>
      <w:bookmarkEnd w:id="65"/>
    </w:p>
    <w:p w14:paraId="34ED77AE" w14:textId="77777777" w:rsidR="002B00B8" w:rsidRPr="001B3304" w:rsidRDefault="002B00B8" w:rsidP="003E1822">
      <w:pPr>
        <w:pStyle w:val="NoSpacing"/>
        <w:rPr>
          <w:szCs w:val="24"/>
        </w:rPr>
      </w:pPr>
    </w:p>
    <w:p w14:paraId="15152415" w14:textId="77777777" w:rsidR="002B00B8" w:rsidRPr="001B3304" w:rsidRDefault="002B00B8" w:rsidP="003E1822">
      <w:pPr>
        <w:pStyle w:val="NoSpacing"/>
        <w:rPr>
          <w:szCs w:val="24"/>
        </w:rPr>
      </w:pPr>
      <w:r w:rsidRPr="001B3304">
        <w:rPr>
          <w:szCs w:val="24"/>
        </w:rPr>
        <w:t>Although it will doubtless be rare for a jury to find lengthy planning without deliberation, the two findings are not prima facie incompatible or contradictory. A trial judge is entitled to accept the accused's confession that he planned the murder, while accepting that the jury’s acquittal from first degree murder suggested that they found no deliberation: </w:t>
      </w:r>
      <w:r w:rsidRPr="001B3304">
        <w:rPr>
          <w:i/>
          <w:iCs/>
          <w:szCs w:val="24"/>
        </w:rPr>
        <w:t>R v French, </w:t>
      </w:r>
      <w:hyperlink r:id="rId79" w:tgtFrame="_blank" w:history="1">
        <w:r w:rsidRPr="001B3304">
          <w:rPr>
            <w:rStyle w:val="Hyperlink"/>
            <w:szCs w:val="24"/>
          </w:rPr>
          <w:t>2017 ONCA 460</w:t>
        </w:r>
      </w:hyperlink>
      <w:r w:rsidRPr="001B3304">
        <w:rPr>
          <w:szCs w:val="24"/>
        </w:rPr>
        <w:t> at para 30 </w:t>
      </w:r>
    </w:p>
    <w:p w14:paraId="6715F33F" w14:textId="77777777" w:rsidR="002B00B8" w:rsidRPr="001B3304" w:rsidRDefault="002B00B8" w:rsidP="003E1822">
      <w:pPr>
        <w:pStyle w:val="NoSpacing"/>
        <w:rPr>
          <w:szCs w:val="24"/>
        </w:rPr>
      </w:pPr>
      <w:r w:rsidRPr="001B3304">
        <w:rPr>
          <w:rStyle w:val="wixguard"/>
          <w:color w:val="4D4B4B"/>
          <w:szCs w:val="24"/>
        </w:rPr>
        <w:t>​</w:t>
      </w:r>
    </w:p>
    <w:p w14:paraId="5021ABE0" w14:textId="77777777" w:rsidR="002B00B8" w:rsidRPr="001B3304" w:rsidRDefault="002B00B8" w:rsidP="003E1822">
      <w:pPr>
        <w:pStyle w:val="NoSpacing"/>
        <w:rPr>
          <w:szCs w:val="24"/>
        </w:rPr>
      </w:pPr>
      <w:r w:rsidRPr="001B3304">
        <w:rPr>
          <w:szCs w:val="24"/>
        </w:rPr>
        <w:t>Mental illness may undermine the added mental elements of planning and deliberation in s. 231(2): </w:t>
      </w:r>
      <w:r w:rsidRPr="001B3304">
        <w:rPr>
          <w:i/>
          <w:iCs/>
          <w:szCs w:val="24"/>
        </w:rPr>
        <w:t>R v Spence, </w:t>
      </w:r>
      <w:hyperlink r:id="rId80" w:tgtFrame="_blank" w:history="1">
        <w:r w:rsidRPr="001B3304">
          <w:rPr>
            <w:rStyle w:val="Hyperlink"/>
            <w:szCs w:val="24"/>
          </w:rPr>
          <w:t>2017 ONCA 619</w:t>
        </w:r>
      </w:hyperlink>
      <w:r w:rsidRPr="001B3304">
        <w:rPr>
          <w:szCs w:val="24"/>
        </w:rPr>
        <w:t> at para 49</w:t>
      </w:r>
    </w:p>
    <w:p w14:paraId="36CB911C" w14:textId="77777777" w:rsidR="002B00B8" w:rsidRPr="001B3304" w:rsidRDefault="002B00B8" w:rsidP="003E1822">
      <w:pPr>
        <w:pStyle w:val="NoSpacing"/>
        <w:rPr>
          <w:szCs w:val="24"/>
        </w:rPr>
      </w:pPr>
      <w:r w:rsidRPr="001B3304">
        <w:rPr>
          <w:rStyle w:val="wixguard"/>
          <w:color w:val="4D4B4B"/>
          <w:szCs w:val="24"/>
        </w:rPr>
        <w:t>​</w:t>
      </w:r>
    </w:p>
    <w:p w14:paraId="3A8AA5C1" w14:textId="77777777" w:rsidR="002B00B8" w:rsidRPr="001B3304" w:rsidRDefault="002B00B8" w:rsidP="003E1822">
      <w:pPr>
        <w:pStyle w:val="NoSpacing"/>
        <w:rPr>
          <w:szCs w:val="24"/>
        </w:rPr>
      </w:pPr>
      <w:r w:rsidRPr="001B3304">
        <w:rPr>
          <w:szCs w:val="24"/>
        </w:rPr>
        <w:t xml:space="preserve">The definition of planning and deliberation is something courts have long grappled with. Accepted phrases to leave with a jury include </w:t>
      </w:r>
      <w:proofErr w:type="spellStart"/>
      <w:r w:rsidRPr="001B3304">
        <w:rPr>
          <w:szCs w:val="24"/>
        </w:rPr>
        <w:t>include</w:t>
      </w:r>
      <w:proofErr w:type="spellEnd"/>
      <w:r w:rsidRPr="001B3304">
        <w:rPr>
          <w:szCs w:val="24"/>
        </w:rPr>
        <w:t>: “considered,” “not impulsive,” “slow in deciding,” “cautious,” implying that the accused must take time to weigh the advantages and disadvantages of his intended action. The following definition is recommended in David Watt, Watt’s Manual of Criminal Jury Instructions, 2nd ed: </w:t>
      </w:r>
    </w:p>
    <w:p w14:paraId="7405BAFF" w14:textId="77777777" w:rsidR="002B00B8" w:rsidRPr="001B3304" w:rsidRDefault="002B00B8" w:rsidP="003E1822">
      <w:pPr>
        <w:pStyle w:val="NoSpacing"/>
        <w:rPr>
          <w:b/>
          <w:bCs/>
          <w:szCs w:val="24"/>
        </w:rPr>
      </w:pPr>
      <w:r w:rsidRPr="001B3304">
        <w:rPr>
          <w:b/>
          <w:bCs/>
          <w:szCs w:val="24"/>
        </w:rPr>
        <w:t> </w:t>
      </w:r>
    </w:p>
    <w:p w14:paraId="1AE3B955" w14:textId="77777777" w:rsidR="002B00B8" w:rsidRPr="001B3304" w:rsidRDefault="002B00B8" w:rsidP="003E1822">
      <w:pPr>
        <w:pStyle w:val="NoSpacing"/>
        <w:ind w:left="720"/>
        <w:rPr>
          <w:szCs w:val="24"/>
        </w:rPr>
      </w:pPr>
      <w:r w:rsidRPr="001B3304">
        <w:rPr>
          <w:szCs w:val="24"/>
        </w:rPr>
        <w:t>“Deliberate” is not a word that we often use when speaking to other people. It means “considered, not impulsive”, “carefully thought out, not hasty or rash”, “slow in deciding”, “cautious”.</w:t>
      </w:r>
    </w:p>
    <w:p w14:paraId="2D49AC8D" w14:textId="77777777" w:rsidR="002B00B8" w:rsidRPr="001B3304" w:rsidRDefault="002B00B8" w:rsidP="003E1822">
      <w:pPr>
        <w:pStyle w:val="NoSpacing"/>
        <w:ind w:left="720"/>
        <w:rPr>
          <w:szCs w:val="24"/>
        </w:rPr>
      </w:pPr>
      <w:r w:rsidRPr="001B3304">
        <w:rPr>
          <w:rStyle w:val="wixguard"/>
          <w:szCs w:val="24"/>
        </w:rPr>
        <w:t>​</w:t>
      </w:r>
    </w:p>
    <w:p w14:paraId="7E6D5950" w14:textId="00492B2F" w:rsidR="002B00B8" w:rsidRPr="001B3304" w:rsidRDefault="002B00B8" w:rsidP="003E1822">
      <w:pPr>
        <w:pStyle w:val="NoSpacing"/>
        <w:ind w:left="720"/>
        <w:rPr>
          <w:szCs w:val="24"/>
        </w:rPr>
      </w:pPr>
      <w:r w:rsidRPr="001B3304">
        <w:rPr>
          <w:szCs w:val="24"/>
        </w:rPr>
        <w:t>A deliberate act is one that the actor has taken time to weigh the advantages and disadvantages of. The deliberation must take place before the act of murder…starts. A murder committed on sudden impulse and without prior consideration, even with an intention to kill is not a deliberate murder. [Emphasis in original.]: R v Spence, </w:t>
      </w:r>
      <w:hyperlink r:id="rId81" w:tgtFrame="_blank" w:history="1">
        <w:r w:rsidRPr="001B3304">
          <w:rPr>
            <w:rStyle w:val="Hyperlink"/>
            <w:color w:val="auto"/>
            <w:szCs w:val="24"/>
            <w:u w:val="none"/>
          </w:rPr>
          <w:t>2017 ONCA 619</w:t>
        </w:r>
      </w:hyperlink>
      <w:r w:rsidRPr="001B3304">
        <w:rPr>
          <w:szCs w:val="24"/>
        </w:rPr>
        <w:t> at paras 68-74</w:t>
      </w:r>
      <w:r w:rsidR="00D061A9" w:rsidRPr="001B3304">
        <w:rPr>
          <w:szCs w:val="24"/>
        </w:rPr>
        <w:t xml:space="preserve">; </w:t>
      </w:r>
      <w:r w:rsidR="00D061A9" w:rsidRPr="001B3304">
        <w:rPr>
          <w:i/>
          <w:iCs/>
          <w:szCs w:val="24"/>
        </w:rPr>
        <w:t xml:space="preserve">R v Campbell, </w:t>
      </w:r>
      <w:hyperlink r:id="rId82" w:history="1">
        <w:r w:rsidR="00D061A9" w:rsidRPr="001B3304">
          <w:rPr>
            <w:rStyle w:val="Hyperlink"/>
            <w:szCs w:val="24"/>
          </w:rPr>
          <w:t>2020 ONCA 221</w:t>
        </w:r>
      </w:hyperlink>
      <w:r w:rsidR="00D061A9" w:rsidRPr="001B3304">
        <w:rPr>
          <w:szCs w:val="24"/>
        </w:rPr>
        <w:t>, at para 33</w:t>
      </w:r>
    </w:p>
    <w:p w14:paraId="15D1C5F5" w14:textId="77777777" w:rsidR="00925156" w:rsidRPr="001B3304" w:rsidRDefault="00925156" w:rsidP="003E1822">
      <w:pPr>
        <w:pStyle w:val="NoSpacing"/>
        <w:ind w:left="720"/>
        <w:rPr>
          <w:szCs w:val="24"/>
        </w:rPr>
      </w:pPr>
    </w:p>
    <w:p w14:paraId="2BA3F6C3" w14:textId="020B3343" w:rsidR="00925156" w:rsidRPr="001B3304" w:rsidRDefault="00925156" w:rsidP="003E1822">
      <w:pPr>
        <w:pStyle w:val="NoSpacing"/>
        <w:rPr>
          <w:szCs w:val="24"/>
          <w:shd w:val="clear" w:color="auto" w:fill="FFFFFF"/>
        </w:rPr>
      </w:pPr>
      <w:r w:rsidRPr="001B3304">
        <w:rPr>
          <w:szCs w:val="24"/>
          <w:shd w:val="clear" w:color="auto" w:fill="FFFFFF"/>
        </w:rPr>
        <w:t xml:space="preserve">A finding that the accused decided seconds or a few minutes before inflicting the harm, to intentionally inflict bodily harm knowing that death was likely to ensue, is not the same as concluding that the accused planned and deliberated upon the attack before commencing that attack. There has to be evidence from which a jury could reasonably infer that the accused’s attack on the deceased was the product </w:t>
      </w:r>
      <w:r w:rsidRPr="001B3304">
        <w:rPr>
          <w:szCs w:val="24"/>
          <w:shd w:val="clear" w:color="auto" w:fill="FFFFFF"/>
        </w:rPr>
        <w:lastRenderedPageBreak/>
        <w:t xml:space="preserve">of a calculated scheme, arrived at after weighing the nature and consequences of that scheme. In addition to evidence of planning, there had to be evidence that having made the plan, the accused “deliberated”, that is weighed the pros and cons of putting the plan into action: </w:t>
      </w:r>
      <w:r w:rsidRPr="001B3304">
        <w:rPr>
          <w:i/>
          <w:szCs w:val="24"/>
          <w:shd w:val="clear" w:color="auto" w:fill="FFFFFF"/>
        </w:rPr>
        <w:t xml:space="preserve">R v Robinson, </w:t>
      </w:r>
      <w:hyperlink r:id="rId83" w:history="1">
        <w:r w:rsidRPr="001B3304">
          <w:rPr>
            <w:rStyle w:val="Hyperlink"/>
            <w:szCs w:val="24"/>
            <w:shd w:val="clear" w:color="auto" w:fill="FFFFFF"/>
          </w:rPr>
          <w:t xml:space="preserve">2017 ONCA </w:t>
        </w:r>
        <w:r w:rsidR="00B41B55" w:rsidRPr="001B3304">
          <w:rPr>
            <w:rStyle w:val="Hyperlink"/>
            <w:szCs w:val="24"/>
            <w:shd w:val="clear" w:color="auto" w:fill="FFFFFF"/>
          </w:rPr>
          <w:t>645</w:t>
        </w:r>
      </w:hyperlink>
      <w:r w:rsidR="00B41B55" w:rsidRPr="001B3304">
        <w:rPr>
          <w:szCs w:val="24"/>
          <w:shd w:val="clear" w:color="auto" w:fill="FFFFFF"/>
        </w:rPr>
        <w:t>, at para 40</w:t>
      </w:r>
    </w:p>
    <w:p w14:paraId="7E7F19A9" w14:textId="6D08539D" w:rsidR="002E047E" w:rsidRPr="001B3304" w:rsidRDefault="002E047E" w:rsidP="003E1822">
      <w:pPr>
        <w:pStyle w:val="NoSpacing"/>
        <w:rPr>
          <w:szCs w:val="24"/>
          <w:shd w:val="clear" w:color="auto" w:fill="FFFFFF"/>
        </w:rPr>
      </w:pPr>
    </w:p>
    <w:p w14:paraId="737CAB8A" w14:textId="5AC253A7" w:rsidR="002E047E" w:rsidRPr="001B3304" w:rsidRDefault="008357DE" w:rsidP="003E1822">
      <w:pPr>
        <w:pStyle w:val="NoSpacing"/>
        <w:rPr>
          <w:szCs w:val="24"/>
          <w:shd w:val="clear" w:color="auto" w:fill="FFFFFF"/>
        </w:rPr>
      </w:pPr>
      <w:r w:rsidRPr="001B3304">
        <w:rPr>
          <w:szCs w:val="24"/>
          <w:shd w:val="clear" w:color="auto" w:fill="FFFFFF"/>
        </w:rPr>
        <w:t>For a review of the applicability of the</w:t>
      </w:r>
      <w:r w:rsidR="002E047E" w:rsidRPr="001B3304">
        <w:rPr>
          <w:szCs w:val="24"/>
          <w:shd w:val="clear" w:color="auto" w:fill="FFFFFF"/>
        </w:rPr>
        <w:t xml:space="preserve"> transferred intent provision under s.229(b) </w:t>
      </w:r>
      <w:r w:rsidRPr="001B3304">
        <w:rPr>
          <w:szCs w:val="24"/>
          <w:shd w:val="clear" w:color="auto" w:fill="FFFFFF"/>
        </w:rPr>
        <w:t>to</w:t>
      </w:r>
      <w:r w:rsidR="002E047E" w:rsidRPr="001B3304">
        <w:rPr>
          <w:szCs w:val="24"/>
          <w:shd w:val="clear" w:color="auto" w:fill="FFFFFF"/>
        </w:rPr>
        <w:t xml:space="preserve"> a planned and deliberate first degree murder</w:t>
      </w:r>
      <w:r w:rsidRPr="001B3304">
        <w:rPr>
          <w:szCs w:val="24"/>
          <w:shd w:val="clear" w:color="auto" w:fill="FFFFFF"/>
        </w:rPr>
        <w:t>, see</w:t>
      </w:r>
      <w:r w:rsidR="002E047E" w:rsidRPr="001B3304">
        <w:rPr>
          <w:szCs w:val="24"/>
          <w:shd w:val="clear" w:color="auto" w:fill="FFFFFF"/>
        </w:rPr>
        <w:t xml:space="preserve">: </w:t>
      </w:r>
      <w:r w:rsidR="002E047E" w:rsidRPr="001B3304">
        <w:rPr>
          <w:i/>
          <w:iCs/>
          <w:szCs w:val="24"/>
          <w:shd w:val="clear" w:color="auto" w:fill="FFFFFF"/>
        </w:rPr>
        <w:t xml:space="preserve">R v Ching, </w:t>
      </w:r>
      <w:hyperlink r:id="rId84" w:history="1">
        <w:r w:rsidR="002E047E" w:rsidRPr="001B3304">
          <w:rPr>
            <w:rStyle w:val="Hyperlink"/>
            <w:szCs w:val="24"/>
            <w:shd w:val="clear" w:color="auto" w:fill="FFFFFF"/>
          </w:rPr>
          <w:t>2019 ONCA 619</w:t>
        </w:r>
      </w:hyperlink>
      <w:r w:rsidR="002E047E" w:rsidRPr="001B3304">
        <w:rPr>
          <w:szCs w:val="24"/>
          <w:shd w:val="clear" w:color="auto" w:fill="FFFFFF"/>
        </w:rPr>
        <w:t>, at paras 17-38</w:t>
      </w:r>
    </w:p>
    <w:p w14:paraId="6C101D62" w14:textId="41443223" w:rsidR="00EC3BBC" w:rsidRPr="001B3304" w:rsidRDefault="00EC3BBC" w:rsidP="003E1822">
      <w:pPr>
        <w:pStyle w:val="NoSpacing"/>
        <w:rPr>
          <w:szCs w:val="24"/>
          <w:shd w:val="clear" w:color="auto" w:fill="FFFFFF"/>
        </w:rPr>
      </w:pPr>
    </w:p>
    <w:p w14:paraId="7044342A" w14:textId="151BB19F" w:rsidR="00EC3BBC" w:rsidRPr="001B3304" w:rsidRDefault="00EC3BBC" w:rsidP="00EC3BBC">
      <w:pPr>
        <w:pStyle w:val="NoSpacing"/>
        <w:rPr>
          <w:szCs w:val="24"/>
        </w:rPr>
      </w:pPr>
      <w:r w:rsidRPr="001B3304">
        <w:rPr>
          <w:szCs w:val="24"/>
        </w:rPr>
        <w:t xml:space="preserve">Evidence of motive and animus can relate to and help establish intent, as well as planning and deliberation. </w:t>
      </w:r>
      <w:r w:rsidRPr="001B3304">
        <w:rPr>
          <w:color w:val="000000"/>
          <w:szCs w:val="24"/>
        </w:rPr>
        <w:t>Whether an accused had the opportunity for a sufficient amount of time to plan and deliberate upon a murder is a relevant factor for the analysis</w:t>
      </w:r>
      <w:r w:rsidRPr="001B3304">
        <w:rPr>
          <w:szCs w:val="24"/>
        </w:rPr>
        <w:t>: </w:t>
      </w:r>
      <w:r w:rsidRPr="001B3304">
        <w:rPr>
          <w:i/>
          <w:iCs/>
          <w:szCs w:val="24"/>
        </w:rPr>
        <w:t xml:space="preserve">R v Singh, </w:t>
      </w:r>
      <w:hyperlink r:id="rId85" w:history="1">
        <w:r w:rsidRPr="001B3304">
          <w:rPr>
            <w:rStyle w:val="Hyperlink"/>
            <w:szCs w:val="24"/>
          </w:rPr>
          <w:t>2022 OCCA 584</w:t>
        </w:r>
      </w:hyperlink>
      <w:r w:rsidRPr="001B3304">
        <w:rPr>
          <w:szCs w:val="24"/>
        </w:rPr>
        <w:t>, at paras 101-102</w:t>
      </w:r>
    </w:p>
    <w:p w14:paraId="05B97D2B" w14:textId="77777777" w:rsidR="002B00B8" w:rsidRPr="001B3304" w:rsidRDefault="002B00B8" w:rsidP="003E1822">
      <w:pPr>
        <w:pStyle w:val="font7"/>
        <w:spacing w:before="0" w:beforeAutospacing="0" w:after="0" w:afterAutospacing="0" w:line="276" w:lineRule="auto"/>
        <w:textAlignment w:val="baseline"/>
        <w:rPr>
          <w:rFonts w:ascii="Arial" w:hAnsi="Arial" w:cs="Arial"/>
          <w:color w:val="4D4B4B"/>
          <w:sz w:val="24"/>
          <w:szCs w:val="24"/>
        </w:rPr>
      </w:pPr>
    </w:p>
    <w:p w14:paraId="38038302" w14:textId="67DABED7" w:rsidR="002B00B8" w:rsidRPr="001B3304" w:rsidRDefault="002B00B8" w:rsidP="004358F8">
      <w:pPr>
        <w:pStyle w:val="Heading3"/>
      </w:pPr>
      <w:bookmarkStart w:id="66" w:name="_Toc134294106"/>
      <w:r w:rsidRPr="001B3304">
        <w:t>Constructive First Degree Murder</w:t>
      </w:r>
      <w:r w:rsidR="002E496F" w:rsidRPr="001B3304">
        <w:t>: s.231(</w:t>
      </w:r>
      <w:r w:rsidR="00523F86" w:rsidRPr="001B3304">
        <w:t>4) – (6.2</w:t>
      </w:r>
      <w:r w:rsidR="002E496F" w:rsidRPr="001B3304">
        <w:t>)</w:t>
      </w:r>
      <w:bookmarkEnd w:id="66"/>
    </w:p>
    <w:p w14:paraId="65B85350" w14:textId="77777777" w:rsidR="00457CBD" w:rsidRPr="001B3304" w:rsidRDefault="00457CBD" w:rsidP="003E1822">
      <w:pPr>
        <w:pStyle w:val="Heading4"/>
        <w:numPr>
          <w:ilvl w:val="0"/>
          <w:numId w:val="0"/>
        </w:numPr>
        <w:spacing w:line="276" w:lineRule="auto"/>
        <w:ind w:left="1440" w:hanging="360"/>
        <w:rPr>
          <w:rFonts w:cs="Arial"/>
          <w:color w:val="632423" w:themeColor="accent2" w:themeShade="80"/>
          <w:sz w:val="24"/>
          <w:szCs w:val="24"/>
        </w:rPr>
      </w:pPr>
    </w:p>
    <w:p w14:paraId="72BE8D7C" w14:textId="51EBFF92" w:rsidR="0081420D" w:rsidRPr="001B3304" w:rsidRDefault="0081420D" w:rsidP="003E1822">
      <w:pPr>
        <w:pStyle w:val="Heading4"/>
        <w:numPr>
          <w:ilvl w:val="0"/>
          <w:numId w:val="29"/>
        </w:numPr>
        <w:spacing w:line="276" w:lineRule="auto"/>
        <w:rPr>
          <w:rFonts w:cs="Arial"/>
          <w:color w:val="632423" w:themeColor="accent2" w:themeShade="80"/>
          <w:sz w:val="24"/>
          <w:szCs w:val="24"/>
        </w:rPr>
      </w:pPr>
      <w:r w:rsidRPr="001B3304">
        <w:rPr>
          <w:rFonts w:cs="Arial"/>
          <w:color w:val="632423" w:themeColor="accent2" w:themeShade="80"/>
          <w:sz w:val="24"/>
          <w:szCs w:val="24"/>
        </w:rPr>
        <w:t>General Principles</w:t>
      </w:r>
    </w:p>
    <w:p w14:paraId="78CDFD97" w14:textId="118677DA" w:rsidR="0081420D" w:rsidRPr="001B3304" w:rsidRDefault="0081420D" w:rsidP="003E1822">
      <w:pPr>
        <w:spacing w:line="276" w:lineRule="auto"/>
        <w:rPr>
          <w:rFonts w:ascii="Arial" w:hAnsi="Arial" w:cs="Arial"/>
          <w:lang w:val="en-US"/>
        </w:rPr>
      </w:pPr>
    </w:p>
    <w:p w14:paraId="7E194911" w14:textId="0D7EF577" w:rsidR="0081420D" w:rsidRPr="001B3304" w:rsidRDefault="0081420D" w:rsidP="003E1822">
      <w:pPr>
        <w:pStyle w:val="NoSpacing"/>
        <w:rPr>
          <w:szCs w:val="24"/>
        </w:rPr>
      </w:pPr>
      <w:r w:rsidRPr="001B3304">
        <w:rPr>
          <w:szCs w:val="24"/>
        </w:rPr>
        <w:t>Section 231 does not create a distinct and independent substantive offence of first degree constructive murder; rather, it classifies for sentencing purposes the crime of murder, defined elsewhere, as first degree murder or second degree murder:</w:t>
      </w:r>
    </w:p>
    <w:p w14:paraId="0D671E68" w14:textId="77777777" w:rsidR="0081420D" w:rsidRPr="001B3304" w:rsidRDefault="0081420D" w:rsidP="003E1822">
      <w:pPr>
        <w:pStyle w:val="NoSpacing"/>
        <w:rPr>
          <w:szCs w:val="24"/>
        </w:rPr>
      </w:pPr>
    </w:p>
    <w:p w14:paraId="2B15023F" w14:textId="1D74659E" w:rsidR="0081420D" w:rsidRPr="001B3304" w:rsidRDefault="0081420D" w:rsidP="003E1822">
      <w:pPr>
        <w:pStyle w:val="NoSpacing"/>
        <w:rPr>
          <w:szCs w:val="24"/>
        </w:rPr>
      </w:pPr>
      <w:r w:rsidRPr="001B3304">
        <w:rPr>
          <w:szCs w:val="24"/>
        </w:rPr>
        <w:t>Section 231 contains several provisions that classify as first degree murder unlawful killings which amount to murder, committed while the accused is also committing or attempting to commit another offence. In general terms, this classification requires proof that:</w:t>
      </w:r>
    </w:p>
    <w:p w14:paraId="156B12C7" w14:textId="77777777" w:rsidR="0081420D" w:rsidRPr="001B3304" w:rsidRDefault="0081420D" w:rsidP="003E1822">
      <w:pPr>
        <w:pStyle w:val="NoSpacing"/>
        <w:rPr>
          <w:szCs w:val="24"/>
        </w:rPr>
      </w:pPr>
    </w:p>
    <w:p w14:paraId="6003E21B" w14:textId="77777777" w:rsidR="0081420D" w:rsidRPr="001B3304" w:rsidRDefault="0081420D" w:rsidP="003E1822">
      <w:pPr>
        <w:pStyle w:val="NoSpacing"/>
        <w:ind w:left="720"/>
        <w:rPr>
          <w:szCs w:val="24"/>
        </w:rPr>
      </w:pPr>
      <w:proofErr w:type="spellStart"/>
      <w:r w:rsidRPr="001B3304">
        <w:rPr>
          <w:szCs w:val="24"/>
        </w:rPr>
        <w:t>i</w:t>
      </w:r>
      <w:proofErr w:type="spellEnd"/>
      <w:r w:rsidRPr="001B3304">
        <w:rPr>
          <w:szCs w:val="24"/>
        </w:rPr>
        <w:t>.    the accused committed or attempted to commit a listed underlying crime (predicate offence);</w:t>
      </w:r>
    </w:p>
    <w:p w14:paraId="100620FE" w14:textId="77777777" w:rsidR="0081420D" w:rsidRPr="001B3304" w:rsidRDefault="0081420D" w:rsidP="003E1822">
      <w:pPr>
        <w:pStyle w:val="NoSpacing"/>
        <w:ind w:left="720"/>
        <w:rPr>
          <w:szCs w:val="24"/>
        </w:rPr>
      </w:pPr>
      <w:r w:rsidRPr="001B3304">
        <w:rPr>
          <w:szCs w:val="24"/>
        </w:rPr>
        <w:t>ii.    the accused murdered the victim;</w:t>
      </w:r>
    </w:p>
    <w:p w14:paraId="562C7B6D" w14:textId="77777777" w:rsidR="0081420D" w:rsidRPr="001B3304" w:rsidRDefault="0081420D" w:rsidP="003E1822">
      <w:pPr>
        <w:pStyle w:val="NoSpacing"/>
        <w:ind w:left="720"/>
        <w:rPr>
          <w:szCs w:val="24"/>
        </w:rPr>
      </w:pPr>
      <w:r w:rsidRPr="001B3304">
        <w:rPr>
          <w:szCs w:val="24"/>
        </w:rPr>
        <w:t>iii.   the accused participated in the murder in such a manner that he or she was a substantial cause of the victim’s death;</w:t>
      </w:r>
    </w:p>
    <w:p w14:paraId="0387E58F" w14:textId="77777777" w:rsidR="0081420D" w:rsidRPr="001B3304" w:rsidRDefault="0081420D" w:rsidP="003E1822">
      <w:pPr>
        <w:pStyle w:val="NoSpacing"/>
        <w:ind w:left="720"/>
        <w:rPr>
          <w:szCs w:val="24"/>
        </w:rPr>
      </w:pPr>
      <w:r w:rsidRPr="001B3304">
        <w:rPr>
          <w:szCs w:val="24"/>
        </w:rPr>
        <w:t>iv.  no intervening act of another resulted in the accused no longer being substantially connected to the death of the victim; and</w:t>
      </w:r>
    </w:p>
    <w:p w14:paraId="0F7E5414" w14:textId="14A41BE3" w:rsidR="0081420D" w:rsidRPr="001B3304" w:rsidRDefault="0081420D" w:rsidP="003E1822">
      <w:pPr>
        <w:pStyle w:val="NoSpacing"/>
        <w:ind w:left="720"/>
        <w:rPr>
          <w:szCs w:val="24"/>
        </w:rPr>
      </w:pPr>
      <w:r w:rsidRPr="001B3304">
        <w:rPr>
          <w:szCs w:val="24"/>
        </w:rPr>
        <w:t xml:space="preserve">v.    the listed crime and the murder of the victim were part of the same transaction; that is to say, the victim’s death was caused while the accused was committing or attempting to commit the listed crime as part of the same </w:t>
      </w:r>
      <w:r w:rsidRPr="001B3304">
        <w:rPr>
          <w:szCs w:val="24"/>
        </w:rPr>
        <w:lastRenderedPageBreak/>
        <w:t>series of events</w:t>
      </w:r>
      <w:r w:rsidR="00524867" w:rsidRPr="001B3304">
        <w:rPr>
          <w:szCs w:val="24"/>
        </w:rPr>
        <w:t xml:space="preserve">: </w:t>
      </w:r>
      <w:r w:rsidR="00524867" w:rsidRPr="001B3304">
        <w:rPr>
          <w:i/>
          <w:iCs/>
          <w:szCs w:val="24"/>
        </w:rPr>
        <w:t xml:space="preserve">R v Province, </w:t>
      </w:r>
      <w:hyperlink r:id="rId86" w:history="1">
        <w:r w:rsidR="00524867" w:rsidRPr="001B3304">
          <w:rPr>
            <w:rStyle w:val="Hyperlink"/>
            <w:szCs w:val="24"/>
          </w:rPr>
          <w:t xml:space="preserve">2019 ONCA </w:t>
        </w:r>
        <w:r w:rsidR="00D34FE4" w:rsidRPr="001B3304">
          <w:rPr>
            <w:rStyle w:val="Hyperlink"/>
            <w:szCs w:val="24"/>
          </w:rPr>
          <w:t>638</w:t>
        </w:r>
      </w:hyperlink>
      <w:r w:rsidR="00D34FE4" w:rsidRPr="001B3304">
        <w:rPr>
          <w:szCs w:val="24"/>
        </w:rPr>
        <w:t>, at paras 125-126</w:t>
      </w:r>
      <w:r w:rsidR="00D41A50" w:rsidRPr="001B3304">
        <w:rPr>
          <w:szCs w:val="24"/>
        </w:rPr>
        <w:t xml:space="preserve">; </w:t>
      </w:r>
      <w:r w:rsidR="00D41A50" w:rsidRPr="001B3304">
        <w:rPr>
          <w:i/>
          <w:iCs/>
          <w:szCs w:val="24"/>
        </w:rPr>
        <w:t xml:space="preserve">R v Al-Enzi, </w:t>
      </w:r>
      <w:hyperlink r:id="rId87" w:history="1">
        <w:r w:rsidR="00D41A50" w:rsidRPr="001B3304">
          <w:rPr>
            <w:rStyle w:val="Hyperlink"/>
            <w:szCs w:val="24"/>
          </w:rPr>
          <w:t>2021 ONCA 81,</w:t>
        </w:r>
      </w:hyperlink>
      <w:r w:rsidR="00D41A50" w:rsidRPr="001B3304">
        <w:rPr>
          <w:szCs w:val="24"/>
        </w:rPr>
        <w:t xml:space="preserve"> at para 152</w:t>
      </w:r>
    </w:p>
    <w:p w14:paraId="759E589C" w14:textId="56BA574D" w:rsidR="00676EAC" w:rsidRPr="001B3304" w:rsidRDefault="00676EAC" w:rsidP="003E1822">
      <w:pPr>
        <w:pStyle w:val="NoSpacing"/>
        <w:ind w:left="720"/>
        <w:rPr>
          <w:szCs w:val="24"/>
        </w:rPr>
      </w:pPr>
    </w:p>
    <w:p w14:paraId="1689C894" w14:textId="03A13942" w:rsidR="00676EAC" w:rsidRPr="001B3304" w:rsidRDefault="00676EAC" w:rsidP="003E1822">
      <w:pPr>
        <w:pStyle w:val="NoSpacing"/>
        <w:rPr>
          <w:szCs w:val="24"/>
        </w:rPr>
      </w:pPr>
      <w:r w:rsidRPr="001B3304">
        <w:rPr>
          <w:szCs w:val="24"/>
        </w:rPr>
        <w:t xml:space="preserve">To satisfy the “single transaction” requirement under s. 231, the predicate offence and the murder of the victim must be temporally and causally connected so as to form a continuous single transaction. But the predicate offence and the killing must also be distinct acts: </w:t>
      </w:r>
      <w:r w:rsidRPr="001B3304">
        <w:rPr>
          <w:i/>
          <w:iCs/>
          <w:szCs w:val="24"/>
        </w:rPr>
        <w:t xml:space="preserve">R v Province, </w:t>
      </w:r>
      <w:hyperlink r:id="rId88" w:history="1">
        <w:r w:rsidRPr="001B3304">
          <w:rPr>
            <w:rStyle w:val="Hyperlink"/>
            <w:szCs w:val="24"/>
          </w:rPr>
          <w:t>2019 ONCA 638</w:t>
        </w:r>
      </w:hyperlink>
      <w:r w:rsidRPr="001B3304">
        <w:rPr>
          <w:szCs w:val="24"/>
        </w:rPr>
        <w:t>, at paras 128, 135</w:t>
      </w:r>
    </w:p>
    <w:p w14:paraId="45B3FDEA" w14:textId="77777777" w:rsidR="00676EAC" w:rsidRPr="001B3304" w:rsidRDefault="00676EAC" w:rsidP="003E1822">
      <w:pPr>
        <w:pStyle w:val="NoSpacing"/>
        <w:ind w:left="720"/>
        <w:rPr>
          <w:szCs w:val="24"/>
        </w:rPr>
      </w:pPr>
    </w:p>
    <w:p w14:paraId="6EB0B28B" w14:textId="77777777" w:rsidR="0081420D" w:rsidRPr="001B3304" w:rsidRDefault="0081420D" w:rsidP="003E1822">
      <w:pPr>
        <w:spacing w:line="276" w:lineRule="auto"/>
        <w:rPr>
          <w:rFonts w:ascii="Arial" w:hAnsi="Arial" w:cs="Arial"/>
          <w:lang w:val="en-US"/>
        </w:rPr>
      </w:pPr>
    </w:p>
    <w:p w14:paraId="1DEA846E" w14:textId="77777777" w:rsidR="0081420D" w:rsidRPr="001B3304" w:rsidRDefault="0081420D" w:rsidP="003E1822">
      <w:pPr>
        <w:spacing w:line="276" w:lineRule="auto"/>
        <w:rPr>
          <w:rFonts w:ascii="Arial" w:hAnsi="Arial" w:cs="Arial"/>
          <w:lang w:val="en-US"/>
        </w:rPr>
      </w:pPr>
    </w:p>
    <w:p w14:paraId="79C5B9E4" w14:textId="40074A6A" w:rsidR="002B00B8" w:rsidRPr="001B3304" w:rsidRDefault="002B00B8" w:rsidP="003E1822">
      <w:pPr>
        <w:pStyle w:val="Heading4"/>
        <w:spacing w:line="276" w:lineRule="auto"/>
        <w:rPr>
          <w:rFonts w:cs="Arial"/>
          <w:color w:val="632423" w:themeColor="accent2" w:themeShade="80"/>
          <w:sz w:val="24"/>
          <w:szCs w:val="24"/>
        </w:rPr>
      </w:pPr>
      <w:r w:rsidRPr="001B3304">
        <w:rPr>
          <w:rFonts w:cs="Arial"/>
          <w:color w:val="632423" w:themeColor="accent2" w:themeShade="80"/>
          <w:sz w:val="24"/>
          <w:szCs w:val="24"/>
          <w:bdr w:val="none" w:sz="0" w:space="0" w:color="auto" w:frame="1"/>
        </w:rPr>
        <w:t>Via forcible confinement </w:t>
      </w:r>
    </w:p>
    <w:p w14:paraId="3A256B35" w14:textId="43198D8C" w:rsidR="002B00B8" w:rsidRPr="001B3304" w:rsidRDefault="002B00B8" w:rsidP="003E1822">
      <w:pPr>
        <w:pStyle w:val="NoSpacing"/>
        <w:rPr>
          <w:szCs w:val="24"/>
        </w:rPr>
      </w:pPr>
    </w:p>
    <w:p w14:paraId="3C48CFBC" w14:textId="6329CFC4" w:rsidR="005C023D" w:rsidRPr="001B3304" w:rsidRDefault="005C023D" w:rsidP="005C023D">
      <w:pPr>
        <w:pStyle w:val="NoSpacing"/>
        <w:rPr>
          <w:szCs w:val="24"/>
        </w:rPr>
      </w:pPr>
      <w:r w:rsidRPr="001B3304">
        <w:rPr>
          <w:szCs w:val="24"/>
        </w:rPr>
        <w:t> The phrase “while committing” is to be interpreted (</w:t>
      </w:r>
      <w:proofErr w:type="spellStart"/>
      <w:r w:rsidRPr="001B3304">
        <w:rPr>
          <w:szCs w:val="24"/>
        </w:rPr>
        <w:t>i</w:t>
      </w:r>
      <w:proofErr w:type="spellEnd"/>
      <w:r w:rsidRPr="001B3304">
        <w:rPr>
          <w:szCs w:val="24"/>
        </w:rPr>
        <w:t>) against the backdrop of an organizing principle that the enumerated offences are all crimes that involve the illegal domination of the victim, and (ii) as requiring the demonstration of a causal connection between the enumerated offence and the murder in the sense that the offender’s </w:t>
      </w:r>
      <w:r w:rsidRPr="001B3304">
        <w:rPr>
          <w:i/>
          <w:iCs/>
          <w:szCs w:val="24"/>
        </w:rPr>
        <w:t>reason</w:t>
      </w:r>
      <w:r w:rsidRPr="001B3304">
        <w:rPr>
          <w:szCs w:val="24"/>
        </w:rPr>
        <w:t xml:space="preserve"> </w:t>
      </w:r>
      <w:r w:rsidRPr="001B3304">
        <w:rPr>
          <w:i/>
          <w:iCs/>
          <w:szCs w:val="24"/>
        </w:rPr>
        <w:t>or motivation for the killing</w:t>
      </w:r>
      <w:r w:rsidRPr="001B3304">
        <w:rPr>
          <w:szCs w:val="24"/>
        </w:rPr>
        <w:t xml:space="preserve"> arises from, or is linked to, the offender’s unlawful domination of a victim: </w:t>
      </w:r>
      <w:r w:rsidRPr="001B3304">
        <w:rPr>
          <w:i/>
          <w:iCs/>
          <w:szCs w:val="24"/>
        </w:rPr>
        <w:t xml:space="preserve">R v Singh, </w:t>
      </w:r>
      <w:hyperlink r:id="rId89" w:history="1">
        <w:r w:rsidRPr="001B3304">
          <w:rPr>
            <w:rStyle w:val="Hyperlink"/>
            <w:szCs w:val="24"/>
          </w:rPr>
          <w:t>2022 ONCA 584</w:t>
        </w:r>
      </w:hyperlink>
      <w:r w:rsidRPr="001B3304">
        <w:rPr>
          <w:szCs w:val="24"/>
        </w:rPr>
        <w:t>, at para 155-156</w:t>
      </w:r>
    </w:p>
    <w:p w14:paraId="465815CA" w14:textId="77777777" w:rsidR="005C023D" w:rsidRPr="001B3304" w:rsidRDefault="005C023D" w:rsidP="003E1822">
      <w:pPr>
        <w:pStyle w:val="NoSpacing"/>
        <w:rPr>
          <w:szCs w:val="24"/>
        </w:rPr>
      </w:pPr>
    </w:p>
    <w:p w14:paraId="694608E8" w14:textId="4F413421" w:rsidR="008744BA" w:rsidRPr="001B3304" w:rsidRDefault="008744BA" w:rsidP="008744BA">
      <w:pPr>
        <w:pStyle w:val="NoSpacing"/>
        <w:rPr>
          <w:szCs w:val="24"/>
        </w:rPr>
      </w:pPr>
      <w:r w:rsidRPr="001B3304">
        <w:rPr>
          <w:szCs w:val="24"/>
        </w:rPr>
        <w:t xml:space="preserve">The jurisprudence has interpreted the phrase “while committing” in two ways: some cases talk in terms of an inquiry into whether the listed offence of domination and the killing form part of “one continuous sequence of events forming </w:t>
      </w:r>
      <w:r w:rsidRPr="001B3304">
        <w:rPr>
          <w:szCs w:val="24"/>
          <w:u w:val="single"/>
        </w:rPr>
        <w:t>a single transaction</w:t>
      </w:r>
      <w:r w:rsidRPr="001B3304">
        <w:rPr>
          <w:szCs w:val="24"/>
        </w:rPr>
        <w:t>”; other cases talk in terms of whether the underlying offence of domination and the murder have a close “</w:t>
      </w:r>
      <w:r w:rsidRPr="001B3304">
        <w:rPr>
          <w:szCs w:val="24"/>
          <w:u w:val="single"/>
        </w:rPr>
        <w:t>temporal and causal” connection</w:t>
      </w:r>
      <w:r w:rsidRPr="001B3304">
        <w:rPr>
          <w:szCs w:val="24"/>
        </w:rPr>
        <w:t xml:space="preserve">. However, these are not different inquiries: they are simply different ways of addressing the “same transaction” element, and are used interchangeably in the jurisprudence. When properly applied, they involve the same inquiry and will result in the same conclusion: </w:t>
      </w:r>
      <w:r w:rsidRPr="001B3304">
        <w:rPr>
          <w:i/>
          <w:iCs/>
          <w:szCs w:val="24"/>
        </w:rPr>
        <w:t xml:space="preserve">R v Singh, </w:t>
      </w:r>
      <w:hyperlink r:id="rId90" w:history="1">
        <w:r w:rsidRPr="001B3304">
          <w:rPr>
            <w:rStyle w:val="Hyperlink"/>
            <w:szCs w:val="24"/>
          </w:rPr>
          <w:t>2022 ONCA 584</w:t>
        </w:r>
      </w:hyperlink>
      <w:r w:rsidRPr="001B3304">
        <w:rPr>
          <w:szCs w:val="24"/>
        </w:rPr>
        <w:t>, at para 137</w:t>
      </w:r>
    </w:p>
    <w:p w14:paraId="1379C3E9" w14:textId="561473FC" w:rsidR="005C023D" w:rsidRPr="001B3304" w:rsidRDefault="005C023D" w:rsidP="008744BA">
      <w:pPr>
        <w:pStyle w:val="NoSpacing"/>
        <w:rPr>
          <w:szCs w:val="24"/>
        </w:rPr>
      </w:pPr>
    </w:p>
    <w:p w14:paraId="69B265F5" w14:textId="53C4C6EF" w:rsidR="005C023D" w:rsidRPr="001B3304" w:rsidRDefault="005C023D" w:rsidP="005C023D">
      <w:pPr>
        <w:pStyle w:val="NoSpacing"/>
        <w:rPr>
          <w:szCs w:val="24"/>
        </w:rPr>
      </w:pPr>
      <w:r w:rsidRPr="001B3304">
        <w:rPr>
          <w:szCs w:val="24"/>
        </w:rPr>
        <w:t>The jurisprudence has overwhelmingly treated the required causal connection for the single transaction principle as one in which the act of committing or attempting to commit the enumerated offence prompts a further criminal act that culminates in the murder</w:t>
      </w:r>
      <w:bookmarkStart w:id="67" w:name="_Hlk109986629"/>
      <w:r w:rsidRPr="001B3304">
        <w:rPr>
          <w:szCs w:val="24"/>
        </w:rPr>
        <w:t xml:space="preserve"> – </w:t>
      </w:r>
      <w:bookmarkEnd w:id="67"/>
      <w:r w:rsidRPr="001B3304">
        <w:rPr>
          <w:szCs w:val="24"/>
        </w:rPr>
        <w:t xml:space="preserve">the reason or motivation for the killing” – or, in a small number of cases, where the murder was committed to facilitate the crime of domination: </w:t>
      </w:r>
      <w:r w:rsidRPr="001B3304">
        <w:rPr>
          <w:i/>
          <w:iCs/>
          <w:szCs w:val="24"/>
        </w:rPr>
        <w:t xml:space="preserve">R v Singh, </w:t>
      </w:r>
      <w:hyperlink r:id="rId91" w:history="1">
        <w:r w:rsidRPr="001B3304">
          <w:rPr>
            <w:rStyle w:val="Hyperlink"/>
            <w:szCs w:val="24"/>
          </w:rPr>
          <w:t>2022 ONCA 584</w:t>
        </w:r>
      </w:hyperlink>
      <w:r w:rsidRPr="001B3304">
        <w:rPr>
          <w:szCs w:val="24"/>
        </w:rPr>
        <w:t>, at para 156</w:t>
      </w:r>
    </w:p>
    <w:p w14:paraId="3F109A16" w14:textId="7AF420F8" w:rsidR="00164EC3" w:rsidRPr="001B3304" w:rsidRDefault="00164EC3" w:rsidP="005C023D">
      <w:pPr>
        <w:pStyle w:val="NoSpacing"/>
        <w:rPr>
          <w:szCs w:val="24"/>
        </w:rPr>
      </w:pPr>
    </w:p>
    <w:p w14:paraId="02A1C847" w14:textId="3DF8AB70" w:rsidR="00164EC3" w:rsidRPr="001B3304" w:rsidRDefault="00164EC3" w:rsidP="00164EC3">
      <w:pPr>
        <w:pStyle w:val="NoSpacing"/>
        <w:rPr>
          <w:szCs w:val="24"/>
        </w:rPr>
      </w:pPr>
      <w:r w:rsidRPr="001B3304">
        <w:rPr>
          <w:szCs w:val="24"/>
        </w:rPr>
        <w:t xml:space="preserve">However, the exceptional punishment for first degree murder cannot flow from the opposite relationship, where the act of causing the death of a person plays a role in or prompts the subsequent commission of the enumerated offence. In Singh, for </w:t>
      </w:r>
      <w:r w:rsidRPr="001B3304">
        <w:rPr>
          <w:szCs w:val="24"/>
        </w:rPr>
        <w:lastRenderedPageBreak/>
        <w:t xml:space="preserve">example, the Court of Appeal held that the trial judge erred by denying a directed verdict on the finding that constructive first degree murder could be made out where the appellant killed the victim, and then attempted to pursue another victim, who was forcibly confined in the process. In other words, the death of the </w:t>
      </w:r>
      <w:proofErr w:type="spellStart"/>
      <w:r w:rsidRPr="001B3304">
        <w:rPr>
          <w:szCs w:val="24"/>
        </w:rPr>
        <w:t>deceassed</w:t>
      </w:r>
      <w:proofErr w:type="spellEnd"/>
      <w:r w:rsidRPr="001B3304">
        <w:rPr>
          <w:szCs w:val="24"/>
        </w:rPr>
        <w:t xml:space="preserve"> was caused before the appellant embarked upon his acts that had the effect of unlawfully confining another victim. The Court concluded that “ the trial judge’s reversal of the connective relationship between the enumerated offence and the murder would not satisfy the jurisprudence’s requirement of demonstrating that the offender’s reason or motivation for the killing arises from, or is linked to, the offender’s unlawful domination of a victim:” </w:t>
      </w:r>
      <w:r w:rsidRPr="001B3304">
        <w:rPr>
          <w:i/>
          <w:iCs/>
          <w:szCs w:val="24"/>
        </w:rPr>
        <w:t>R v Singh</w:t>
      </w:r>
      <w:r w:rsidRPr="001B3304">
        <w:rPr>
          <w:szCs w:val="24"/>
        </w:rPr>
        <w:t xml:space="preserve">, </w:t>
      </w:r>
      <w:hyperlink r:id="rId92" w:history="1">
        <w:r w:rsidRPr="001B3304">
          <w:rPr>
            <w:rStyle w:val="Hyperlink"/>
            <w:szCs w:val="24"/>
          </w:rPr>
          <w:t>2022 ONCA 584</w:t>
        </w:r>
      </w:hyperlink>
      <w:r w:rsidRPr="001B3304">
        <w:rPr>
          <w:szCs w:val="24"/>
        </w:rPr>
        <w:t>, at para 158</w:t>
      </w:r>
    </w:p>
    <w:p w14:paraId="64455BEF" w14:textId="1A10992D" w:rsidR="008744BA" w:rsidRPr="001B3304" w:rsidRDefault="008744BA" w:rsidP="003E1822">
      <w:pPr>
        <w:pStyle w:val="NoSpacing"/>
        <w:rPr>
          <w:szCs w:val="24"/>
        </w:rPr>
      </w:pPr>
    </w:p>
    <w:p w14:paraId="25A64E6E" w14:textId="17D8AD68" w:rsidR="00164EC3" w:rsidRPr="001B3304" w:rsidRDefault="00164EC3" w:rsidP="0068345B">
      <w:pPr>
        <w:pStyle w:val="NoSpacing"/>
        <w:rPr>
          <w:szCs w:val="24"/>
        </w:rPr>
      </w:pPr>
      <w:r w:rsidRPr="001B3304">
        <w:rPr>
          <w:szCs w:val="24"/>
        </w:rPr>
        <w:t xml:space="preserve">The Court further reasoned that, while there was evidence that could satisfy the single transaction’s temporal connection between the two criminal acts (occurring within minutes of one another), there was no evidence that the relationship between the two criminal acts could satisfy the causal connection aspect of a single transaction. That is because the evidence showed that appellant’s reason or motivation for killing the deceased did not arise from, and was not linked to, his later unlawful domination and confinement of another victim. Nor was there any suggestion in the evidence that </w:t>
      </w:r>
      <w:r w:rsidR="0068345B" w:rsidRPr="001B3304">
        <w:rPr>
          <w:szCs w:val="24"/>
        </w:rPr>
        <w:t>the appellant’s</w:t>
      </w:r>
      <w:r w:rsidRPr="001B3304">
        <w:rPr>
          <w:szCs w:val="24"/>
        </w:rPr>
        <w:t xml:space="preserve"> pursuit and unlawful confinement of </w:t>
      </w:r>
      <w:r w:rsidR="0068345B" w:rsidRPr="001B3304">
        <w:rPr>
          <w:szCs w:val="24"/>
        </w:rPr>
        <w:t>the second victim</w:t>
      </w:r>
      <w:r w:rsidRPr="001B3304">
        <w:rPr>
          <w:szCs w:val="24"/>
        </w:rPr>
        <w:t xml:space="preserve"> contributed to </w:t>
      </w:r>
      <w:r w:rsidR="0068345B" w:rsidRPr="001B3304">
        <w:rPr>
          <w:szCs w:val="24"/>
        </w:rPr>
        <w:t>the deceased’s</w:t>
      </w:r>
      <w:r w:rsidRPr="001B3304">
        <w:rPr>
          <w:szCs w:val="24"/>
        </w:rPr>
        <w:t xml:space="preserve"> death by preventing her from receiving medical aid that could have saved her life</w:t>
      </w:r>
      <w:r w:rsidR="0068345B" w:rsidRPr="001B3304">
        <w:rPr>
          <w:szCs w:val="24"/>
        </w:rPr>
        <w:t xml:space="preserve">: </w:t>
      </w:r>
      <w:r w:rsidR="0068345B" w:rsidRPr="001B3304">
        <w:rPr>
          <w:i/>
          <w:iCs/>
          <w:szCs w:val="24"/>
        </w:rPr>
        <w:t xml:space="preserve">R v Singh, </w:t>
      </w:r>
      <w:r w:rsidR="0068345B" w:rsidRPr="001B3304">
        <w:rPr>
          <w:szCs w:val="24"/>
        </w:rPr>
        <w:t>2022 ONCA 584, at para 161</w:t>
      </w:r>
    </w:p>
    <w:p w14:paraId="56DFFD0F" w14:textId="77777777" w:rsidR="00164EC3" w:rsidRPr="001B3304" w:rsidRDefault="00164EC3" w:rsidP="003E1822">
      <w:pPr>
        <w:pStyle w:val="NoSpacing"/>
        <w:rPr>
          <w:szCs w:val="24"/>
        </w:rPr>
      </w:pPr>
    </w:p>
    <w:p w14:paraId="488EA2F9" w14:textId="53E4DD8E" w:rsidR="002B00B8" w:rsidRPr="001B3304" w:rsidRDefault="002B00B8" w:rsidP="003E1822">
      <w:pPr>
        <w:pStyle w:val="NoSpacing"/>
        <w:rPr>
          <w:szCs w:val="24"/>
        </w:rPr>
      </w:pPr>
      <w:r w:rsidRPr="001B3304">
        <w:rPr>
          <w:szCs w:val="24"/>
        </w:rPr>
        <w:t xml:space="preserve">There is no minimal temporal requirement on the unlawful confinement that must occur to elevate the offence to first degree murder: </w:t>
      </w:r>
      <w:r w:rsidRPr="001B3304">
        <w:rPr>
          <w:i/>
          <w:iCs/>
          <w:szCs w:val="24"/>
        </w:rPr>
        <w:t>R v McLellan</w:t>
      </w:r>
      <w:r w:rsidRPr="001B3304">
        <w:rPr>
          <w:szCs w:val="24"/>
        </w:rPr>
        <w:t xml:space="preserve">, 2018 ONCA 510 at para 74 </w:t>
      </w:r>
    </w:p>
    <w:p w14:paraId="230F18AE" w14:textId="25436229" w:rsidR="002B00B8" w:rsidRPr="001B3304" w:rsidRDefault="002B00B8" w:rsidP="003E1822">
      <w:pPr>
        <w:pStyle w:val="NoSpacing"/>
        <w:rPr>
          <w:szCs w:val="24"/>
        </w:rPr>
      </w:pPr>
    </w:p>
    <w:p w14:paraId="04B6F368" w14:textId="1F17A5F2" w:rsidR="008744BA" w:rsidRPr="001B3304" w:rsidRDefault="007C3012" w:rsidP="003E1822">
      <w:pPr>
        <w:pStyle w:val="NoSpacing"/>
        <w:rPr>
          <w:szCs w:val="24"/>
        </w:rPr>
      </w:pPr>
      <w:r w:rsidRPr="001B3304">
        <w:rPr>
          <w:szCs w:val="24"/>
        </w:rPr>
        <w:t>A temporal link alone between the forcible confinement and the murder is not sufficient to establish constructive first degree murder. It is not enough that the two offences be committed in succession. There must also be a causal link between the two offences. This link may be established in various ways. One way is where one offence was committed to facilitate the other, whether the predicate offence facilitated the commission of the murder or the murder facilitated the commission of the predicate offence. Similarly, the causal link may be established where each offence was committed to facilitate some third offence, where the offences taken together can aptly be described as a single transaction</w:t>
      </w:r>
      <w:r w:rsidR="0090344B" w:rsidRPr="001B3304">
        <w:rPr>
          <w:szCs w:val="24"/>
        </w:rPr>
        <w:t>.</w:t>
      </w:r>
      <w:r w:rsidRPr="001B3304">
        <w:rPr>
          <w:szCs w:val="24"/>
        </w:rPr>
        <w:t xml:space="preserve"> </w:t>
      </w:r>
      <w:r w:rsidR="0090344B" w:rsidRPr="001B3304">
        <w:rPr>
          <w:color w:val="000000"/>
          <w:szCs w:val="24"/>
        </w:rPr>
        <w:t>There must be some unifying relation among the events. The continuing course of domination, is that unifying relation:</w:t>
      </w:r>
      <w:r w:rsidR="0090344B" w:rsidRPr="001B3304">
        <w:rPr>
          <w:i/>
          <w:iCs/>
          <w:szCs w:val="24"/>
        </w:rPr>
        <w:t xml:space="preserve"> </w:t>
      </w:r>
      <w:r w:rsidRPr="001B3304">
        <w:rPr>
          <w:i/>
          <w:iCs/>
          <w:szCs w:val="24"/>
        </w:rPr>
        <w:t xml:space="preserve">R v Alexis, </w:t>
      </w:r>
      <w:hyperlink r:id="rId93" w:history="1">
        <w:r w:rsidRPr="001B3304">
          <w:rPr>
            <w:rStyle w:val="Hyperlink"/>
            <w:szCs w:val="24"/>
          </w:rPr>
          <w:t>2020 ONCA 334</w:t>
        </w:r>
      </w:hyperlink>
      <w:r w:rsidRPr="001B3304">
        <w:rPr>
          <w:szCs w:val="24"/>
        </w:rPr>
        <w:t>, at paras 15, 18</w:t>
      </w:r>
      <w:r w:rsidR="0090344B" w:rsidRPr="001B3304">
        <w:rPr>
          <w:szCs w:val="24"/>
        </w:rPr>
        <w:t>, 24</w:t>
      </w:r>
    </w:p>
    <w:p w14:paraId="5C7D1D38" w14:textId="3BC148AF" w:rsidR="0090344B" w:rsidRPr="001B3304" w:rsidRDefault="0090344B" w:rsidP="003E1822">
      <w:pPr>
        <w:pStyle w:val="NoSpacing"/>
        <w:rPr>
          <w:szCs w:val="24"/>
        </w:rPr>
      </w:pPr>
    </w:p>
    <w:p w14:paraId="169D6AA0" w14:textId="77777777" w:rsidR="005C023D" w:rsidRPr="001B3304" w:rsidRDefault="005C023D" w:rsidP="005C023D">
      <w:pPr>
        <w:pStyle w:val="NoSpacing"/>
        <w:rPr>
          <w:szCs w:val="24"/>
        </w:rPr>
      </w:pPr>
    </w:p>
    <w:p w14:paraId="30104C73" w14:textId="77777777" w:rsidR="005C023D" w:rsidRPr="001B3304" w:rsidRDefault="005C023D" w:rsidP="005C023D">
      <w:pPr>
        <w:pStyle w:val="NoSpacing"/>
        <w:rPr>
          <w:szCs w:val="24"/>
        </w:rPr>
      </w:pPr>
      <w:r w:rsidRPr="001B3304">
        <w:rPr>
          <w:szCs w:val="24"/>
        </w:rPr>
        <w:t>The act of killing and the act of confinement must be part of a single transaction, but must amount to distinct acts, such that the act of killing and the confinement are not the same; The acts of confinement must go beyond the acts causing death: </w:t>
      </w:r>
      <w:r w:rsidRPr="001B3304">
        <w:rPr>
          <w:i/>
          <w:iCs/>
          <w:szCs w:val="24"/>
        </w:rPr>
        <w:t>R v Smith</w:t>
      </w:r>
      <w:r w:rsidRPr="001B3304">
        <w:rPr>
          <w:szCs w:val="24"/>
        </w:rPr>
        <w:t>, </w:t>
      </w:r>
      <w:hyperlink r:id="rId94" w:tgtFrame="_blank" w:history="1">
        <w:r w:rsidRPr="001B3304">
          <w:rPr>
            <w:rStyle w:val="Hyperlink"/>
            <w:szCs w:val="24"/>
          </w:rPr>
          <w:t>2015 ONCA 831</w:t>
        </w:r>
      </w:hyperlink>
      <w:r w:rsidRPr="001B3304">
        <w:rPr>
          <w:szCs w:val="24"/>
        </w:rPr>
        <w:t xml:space="preserve"> at para 11; </w:t>
      </w:r>
      <w:r w:rsidRPr="001B3304">
        <w:rPr>
          <w:i/>
          <w:iCs/>
          <w:szCs w:val="24"/>
        </w:rPr>
        <w:t xml:space="preserve">R v McGregor, </w:t>
      </w:r>
      <w:hyperlink r:id="rId95" w:anchor="_ftnref1" w:history="1">
        <w:r w:rsidRPr="001B3304">
          <w:rPr>
            <w:rStyle w:val="Hyperlink"/>
            <w:szCs w:val="24"/>
          </w:rPr>
          <w:t>2019 ONCA 307</w:t>
        </w:r>
      </w:hyperlink>
      <w:r w:rsidRPr="001B3304">
        <w:rPr>
          <w:szCs w:val="24"/>
        </w:rPr>
        <w:t>, at paras 62-63</w:t>
      </w:r>
    </w:p>
    <w:p w14:paraId="7C51B253" w14:textId="77777777" w:rsidR="005C023D" w:rsidRPr="001B3304" w:rsidRDefault="005C023D" w:rsidP="005C023D">
      <w:pPr>
        <w:pStyle w:val="font7"/>
        <w:spacing w:before="0" w:beforeAutospacing="0" w:after="0" w:afterAutospacing="0" w:line="276" w:lineRule="auto"/>
        <w:textAlignment w:val="baseline"/>
        <w:rPr>
          <w:rFonts w:ascii="Arial" w:hAnsi="Arial" w:cs="Arial"/>
          <w:color w:val="4D4B4B"/>
          <w:sz w:val="24"/>
          <w:szCs w:val="24"/>
        </w:rPr>
      </w:pPr>
      <w:r w:rsidRPr="001B3304">
        <w:rPr>
          <w:rFonts w:ascii="Arial" w:hAnsi="Arial" w:cs="Arial"/>
          <w:color w:val="4D4B4B"/>
          <w:sz w:val="24"/>
          <w:szCs w:val="24"/>
        </w:rPr>
        <w:t> </w:t>
      </w:r>
    </w:p>
    <w:p w14:paraId="65331AD7" w14:textId="77777777" w:rsidR="005C023D" w:rsidRPr="001B3304" w:rsidRDefault="005C023D" w:rsidP="005C023D">
      <w:pPr>
        <w:pStyle w:val="NoSpacing"/>
        <w:rPr>
          <w:szCs w:val="24"/>
        </w:rPr>
      </w:pPr>
      <w:r w:rsidRPr="001B3304">
        <w:rPr>
          <w:szCs w:val="24"/>
        </w:rPr>
        <w:t xml:space="preserve">Provided the required linkage exists between the underlying offence and the murder, the offence of first degree murder, regardless of the order in which the offences were committed: </w:t>
      </w:r>
      <w:r w:rsidRPr="001B3304">
        <w:rPr>
          <w:i/>
          <w:iCs/>
          <w:szCs w:val="24"/>
        </w:rPr>
        <w:t xml:space="preserve">R v Singh, </w:t>
      </w:r>
      <w:hyperlink r:id="rId96" w:history="1">
        <w:r w:rsidRPr="001B3304">
          <w:rPr>
            <w:rStyle w:val="Hyperlink"/>
            <w:szCs w:val="24"/>
          </w:rPr>
          <w:t>2022 ONCA 584</w:t>
        </w:r>
      </w:hyperlink>
      <w:r w:rsidRPr="001B3304">
        <w:rPr>
          <w:szCs w:val="24"/>
        </w:rPr>
        <w:t>, at para 146-149; but see paras 151-152 re sexual assaults</w:t>
      </w:r>
    </w:p>
    <w:p w14:paraId="010E2490" w14:textId="77777777" w:rsidR="005C023D" w:rsidRPr="001B3304" w:rsidRDefault="005C023D" w:rsidP="003E1822">
      <w:pPr>
        <w:pStyle w:val="NoSpacing"/>
        <w:rPr>
          <w:szCs w:val="24"/>
        </w:rPr>
      </w:pPr>
    </w:p>
    <w:p w14:paraId="7FF064F2" w14:textId="27F546F6" w:rsidR="007C3012" w:rsidRPr="001B3304" w:rsidRDefault="007C3012" w:rsidP="003E1822">
      <w:pPr>
        <w:pStyle w:val="NoSpacing"/>
        <w:rPr>
          <w:szCs w:val="24"/>
        </w:rPr>
      </w:pPr>
      <w:r w:rsidRPr="001B3304">
        <w:rPr>
          <w:szCs w:val="24"/>
        </w:rPr>
        <w:t>The victim who has been dominated in the commission of the predicate offence need not be the same victim who was murdered:</w:t>
      </w:r>
      <w:r w:rsidRPr="001B3304">
        <w:rPr>
          <w:i/>
          <w:iCs/>
          <w:szCs w:val="24"/>
        </w:rPr>
        <w:t xml:space="preserve"> R v Alexis, </w:t>
      </w:r>
      <w:hyperlink r:id="rId97" w:history="1">
        <w:r w:rsidRPr="001B3304">
          <w:rPr>
            <w:rStyle w:val="Hyperlink"/>
            <w:szCs w:val="24"/>
          </w:rPr>
          <w:t>2020 ONCA 334</w:t>
        </w:r>
      </w:hyperlink>
      <w:r w:rsidRPr="001B3304">
        <w:rPr>
          <w:szCs w:val="24"/>
        </w:rPr>
        <w:t>, at para 16</w:t>
      </w:r>
      <w:r w:rsidR="00BA6784" w:rsidRPr="001B3304">
        <w:rPr>
          <w:szCs w:val="24"/>
        </w:rPr>
        <w:t xml:space="preserve">; </w:t>
      </w:r>
      <w:r w:rsidR="00BA6784" w:rsidRPr="001B3304">
        <w:rPr>
          <w:i/>
          <w:iCs/>
          <w:szCs w:val="24"/>
        </w:rPr>
        <w:t xml:space="preserve">R v Singh, </w:t>
      </w:r>
      <w:hyperlink r:id="rId98" w:history="1">
        <w:r w:rsidR="00BA6784" w:rsidRPr="001B3304">
          <w:rPr>
            <w:rStyle w:val="Hyperlink"/>
            <w:szCs w:val="24"/>
          </w:rPr>
          <w:t xml:space="preserve">2022 ONCA </w:t>
        </w:r>
        <w:r w:rsidR="008744BA" w:rsidRPr="001B3304">
          <w:rPr>
            <w:rStyle w:val="Hyperlink"/>
            <w:szCs w:val="24"/>
          </w:rPr>
          <w:t>584</w:t>
        </w:r>
      </w:hyperlink>
      <w:r w:rsidR="008744BA" w:rsidRPr="001B3304">
        <w:rPr>
          <w:szCs w:val="24"/>
        </w:rPr>
        <w:t>, at paras 126-128</w:t>
      </w:r>
    </w:p>
    <w:p w14:paraId="16AC7C4B" w14:textId="0722D6FF" w:rsidR="007C3012" w:rsidRPr="001B3304" w:rsidRDefault="007C3012" w:rsidP="003E1822">
      <w:pPr>
        <w:pStyle w:val="NoSpacing"/>
        <w:rPr>
          <w:szCs w:val="24"/>
        </w:rPr>
      </w:pPr>
    </w:p>
    <w:p w14:paraId="2F4E416E" w14:textId="74BE519D" w:rsidR="00B71BBE" w:rsidRPr="001B3304" w:rsidRDefault="00B71BBE" w:rsidP="003E1822">
      <w:pPr>
        <w:pStyle w:val="NoSpacing"/>
        <w:rPr>
          <w:szCs w:val="24"/>
        </w:rPr>
      </w:pPr>
      <w:r w:rsidRPr="001B3304">
        <w:rPr>
          <w:szCs w:val="24"/>
        </w:rPr>
        <w:t>Kidnapping is an aggravated form of unlawful confinement. Kidnapping is also a continuing offence, one that is complete in law when the victim is first apprehended and moved, but not complete in fact until the victim is freed: </w:t>
      </w:r>
      <w:r w:rsidRPr="001B3304">
        <w:rPr>
          <w:i/>
          <w:iCs/>
          <w:szCs w:val="24"/>
        </w:rPr>
        <w:t xml:space="preserve">R v McGregor, </w:t>
      </w:r>
      <w:hyperlink r:id="rId99" w:anchor="_ftnref1" w:history="1">
        <w:r w:rsidRPr="001B3304">
          <w:rPr>
            <w:rStyle w:val="Hyperlink"/>
            <w:szCs w:val="24"/>
          </w:rPr>
          <w:t>2019 ONCA 307</w:t>
        </w:r>
      </w:hyperlink>
      <w:r w:rsidRPr="001B3304">
        <w:rPr>
          <w:szCs w:val="24"/>
        </w:rPr>
        <w:t>, at para 65</w:t>
      </w:r>
    </w:p>
    <w:p w14:paraId="444DDF68" w14:textId="7A807DDB" w:rsidR="005C023D" w:rsidRPr="001B3304" w:rsidRDefault="005C023D" w:rsidP="003E1822">
      <w:pPr>
        <w:pStyle w:val="NoSpacing"/>
        <w:rPr>
          <w:szCs w:val="24"/>
        </w:rPr>
      </w:pPr>
    </w:p>
    <w:p w14:paraId="2E693C09" w14:textId="5E45E0D0" w:rsidR="005C023D" w:rsidRPr="001B3304" w:rsidRDefault="005C023D" w:rsidP="003E1822">
      <w:pPr>
        <w:pStyle w:val="NoSpacing"/>
        <w:rPr>
          <w:szCs w:val="24"/>
        </w:rPr>
      </w:pPr>
      <w:r w:rsidRPr="001B3304">
        <w:rPr>
          <w:szCs w:val="24"/>
        </w:rPr>
        <w:t>Not all robberies involve domination of the victim, and therefore not all robberies will satisfy s. 231(5)(e). What is required is a finding that the accused confined the victim and then </w:t>
      </w:r>
      <w:r w:rsidRPr="001B3304">
        <w:rPr>
          <w:i/>
          <w:iCs/>
          <w:szCs w:val="24"/>
        </w:rPr>
        <w:t>exploited</w:t>
      </w:r>
      <w:r w:rsidRPr="001B3304">
        <w:rPr>
          <w:szCs w:val="24"/>
        </w:rPr>
        <w:t> that domination by an act of killing. The unlawful confinement must be distinct from the act of killing, but both must be “part of the same single ‘transaction’ of coercion” and the domination must represent an “exploitation of the position of power created by the underlying crime”: </w:t>
      </w:r>
      <w:r w:rsidRPr="001B3304">
        <w:rPr>
          <w:i/>
          <w:szCs w:val="24"/>
        </w:rPr>
        <w:t xml:space="preserve">R v McLellan, </w:t>
      </w:r>
      <w:hyperlink r:id="rId100" w:history="1">
        <w:r w:rsidRPr="001B3304">
          <w:rPr>
            <w:rStyle w:val="Hyperlink"/>
            <w:szCs w:val="24"/>
          </w:rPr>
          <w:t>2018 ONCA 510</w:t>
        </w:r>
      </w:hyperlink>
      <w:r w:rsidRPr="001B3304">
        <w:rPr>
          <w:szCs w:val="24"/>
        </w:rPr>
        <w:t xml:space="preserve"> at para 69</w:t>
      </w:r>
    </w:p>
    <w:p w14:paraId="7C7CEC7B" w14:textId="5F892A81" w:rsidR="00B71BBE" w:rsidRPr="001B3304" w:rsidRDefault="00B71BBE" w:rsidP="003E1822">
      <w:pPr>
        <w:pStyle w:val="NoSpacing"/>
        <w:rPr>
          <w:szCs w:val="24"/>
        </w:rPr>
      </w:pPr>
    </w:p>
    <w:p w14:paraId="569BEDF7" w14:textId="039054A1" w:rsidR="00B71BBE" w:rsidRPr="001B3304" w:rsidRDefault="00B71BBE" w:rsidP="003E1822">
      <w:pPr>
        <w:pStyle w:val="NoSpacing"/>
        <w:rPr>
          <w:szCs w:val="24"/>
        </w:rPr>
      </w:pPr>
      <w:r w:rsidRPr="001B3304">
        <w:rPr>
          <w:szCs w:val="24"/>
          <w:shd w:val="clear" w:color="auto" w:fill="FFFFFF"/>
        </w:rPr>
        <w:t>“illegal domination” is </w:t>
      </w:r>
      <w:r w:rsidRPr="001B3304">
        <w:rPr>
          <w:i/>
          <w:iCs/>
          <w:color w:val="000000"/>
          <w:szCs w:val="24"/>
        </w:rPr>
        <w:t>not</w:t>
      </w:r>
      <w:r w:rsidRPr="001B3304">
        <w:rPr>
          <w:szCs w:val="24"/>
          <w:shd w:val="clear" w:color="auto" w:fill="FFFFFF"/>
        </w:rPr>
        <w:t xml:space="preserve"> a distinct element of first degree murder in s. 231(5). Further, the Crown need not prove that any unlawful confinement continued up to the time of the killing: </w:t>
      </w:r>
      <w:r w:rsidRPr="001B3304">
        <w:rPr>
          <w:i/>
          <w:iCs/>
          <w:szCs w:val="24"/>
          <w:shd w:val="clear" w:color="auto" w:fill="FFFFFF"/>
        </w:rPr>
        <w:t xml:space="preserve">McGregor, </w:t>
      </w:r>
      <w:r w:rsidRPr="001B3304">
        <w:rPr>
          <w:szCs w:val="24"/>
          <w:shd w:val="clear" w:color="auto" w:fill="FFFFFF"/>
        </w:rPr>
        <w:t>at paras 47-76</w:t>
      </w:r>
      <w:r w:rsidR="008744BA" w:rsidRPr="001B3304">
        <w:rPr>
          <w:szCs w:val="24"/>
          <w:shd w:val="clear" w:color="auto" w:fill="FFFFFF"/>
        </w:rPr>
        <w:t xml:space="preserve">; </w:t>
      </w:r>
      <w:r w:rsidR="008744BA" w:rsidRPr="001B3304">
        <w:rPr>
          <w:i/>
          <w:iCs/>
          <w:szCs w:val="24"/>
        </w:rPr>
        <w:t xml:space="preserve">R v Singh, </w:t>
      </w:r>
      <w:hyperlink r:id="rId101" w:history="1">
        <w:r w:rsidR="008744BA" w:rsidRPr="001B3304">
          <w:rPr>
            <w:rStyle w:val="Hyperlink"/>
            <w:szCs w:val="24"/>
          </w:rPr>
          <w:t>2022 ONCA 584</w:t>
        </w:r>
      </w:hyperlink>
      <w:r w:rsidR="008744BA" w:rsidRPr="001B3304">
        <w:rPr>
          <w:szCs w:val="24"/>
        </w:rPr>
        <w:t>, at para 137</w:t>
      </w:r>
    </w:p>
    <w:p w14:paraId="5E9EAD0E" w14:textId="77777777" w:rsidR="00B71BBE" w:rsidRPr="001B3304" w:rsidRDefault="00B71BBE" w:rsidP="003E1822">
      <w:pPr>
        <w:pStyle w:val="NoSpacing"/>
        <w:rPr>
          <w:szCs w:val="24"/>
        </w:rPr>
      </w:pPr>
    </w:p>
    <w:p w14:paraId="1532861C" w14:textId="77777777" w:rsidR="002B00B8" w:rsidRPr="001B3304" w:rsidRDefault="002B00B8" w:rsidP="003E1822">
      <w:pPr>
        <w:pStyle w:val="NoSpacing"/>
        <w:rPr>
          <w:szCs w:val="24"/>
        </w:rPr>
      </w:pPr>
      <w:r w:rsidRPr="001B3304">
        <w:rPr>
          <w:szCs w:val="24"/>
        </w:rPr>
        <w:t>The legal standard for proving unlawful confinement is the same for children as for adults, but in the case of a parent</w:t>
      </w:r>
      <w:r w:rsidRPr="001B3304">
        <w:rPr>
          <w:szCs w:val="24"/>
        </w:rPr>
        <w:noBreakHyphen/>
        <w:t xml:space="preserve">child relationship, courts must keep in mind that children are inherently vulnerable and dependent, and routinely receive — and expect — directions from their parents. The Crown does not have to prove some special or extreme form of confinement in cases involving parents and their children. A finding of confinement does not require evidence of a child being </w:t>
      </w:r>
      <w:r w:rsidRPr="001B3304">
        <w:rPr>
          <w:szCs w:val="24"/>
        </w:rPr>
        <w:lastRenderedPageBreak/>
        <w:t xml:space="preserve">physically bound or locked up; it can also result from evidence of controlling conduct. Although parents are lawfully entitled to restrict the liberty of their children in accordance with the best interests of the child, if a parent engages in abusive or harmful conduct toward his or her child that surpasses any acceptable form of parenting, the lawfulness of his or her authority to confine the child ceases. Disciplining a child by restricting his or her ability to move about freely, by physical or psychological means, contrary to the child’s wishes, which exceeds the outer bounds of punishment that a parent or guardian could lawfully administer, constitutes unlawful confinement: </w:t>
      </w:r>
      <w:r w:rsidRPr="001B3304">
        <w:rPr>
          <w:i/>
          <w:szCs w:val="24"/>
        </w:rPr>
        <w:t xml:space="preserve">R v Magoon, </w:t>
      </w:r>
      <w:hyperlink r:id="rId102" w:history="1">
        <w:r w:rsidRPr="001B3304">
          <w:rPr>
            <w:rStyle w:val="Hyperlink"/>
            <w:rFonts w:eastAsia="Times New Roman"/>
            <w:szCs w:val="24"/>
          </w:rPr>
          <w:t>2018 SCC 14</w:t>
        </w:r>
      </w:hyperlink>
    </w:p>
    <w:p w14:paraId="4E4F8ACE" w14:textId="77777777" w:rsidR="002B00B8" w:rsidRPr="001B3304" w:rsidRDefault="002B00B8" w:rsidP="003E1822">
      <w:pPr>
        <w:pStyle w:val="NoSpacing"/>
        <w:rPr>
          <w:szCs w:val="24"/>
        </w:rPr>
      </w:pPr>
    </w:p>
    <w:p w14:paraId="33755666" w14:textId="77777777" w:rsidR="00F406E9" w:rsidRPr="001B3304" w:rsidRDefault="00F406E9" w:rsidP="00F406E9">
      <w:pPr>
        <w:pStyle w:val="font7"/>
        <w:spacing w:before="0" w:beforeAutospacing="0" w:after="0" w:afterAutospacing="0" w:line="276" w:lineRule="auto"/>
        <w:jc w:val="both"/>
        <w:textAlignment w:val="baseline"/>
        <w:rPr>
          <w:rFonts w:ascii="Arial" w:hAnsi="Arial" w:cs="Arial"/>
          <w:color w:val="4D4B4B"/>
          <w:sz w:val="24"/>
          <w:szCs w:val="24"/>
        </w:rPr>
      </w:pPr>
    </w:p>
    <w:p w14:paraId="03733078" w14:textId="77777777" w:rsidR="00F406E9" w:rsidRPr="001B3304" w:rsidRDefault="00F406E9" w:rsidP="003E1822">
      <w:pPr>
        <w:pStyle w:val="font7"/>
        <w:spacing w:before="0" w:beforeAutospacing="0" w:after="0" w:afterAutospacing="0" w:line="276" w:lineRule="auto"/>
        <w:textAlignment w:val="baseline"/>
        <w:rPr>
          <w:rFonts w:ascii="Arial" w:hAnsi="Arial" w:cs="Arial"/>
          <w:color w:val="4D4B4B"/>
          <w:sz w:val="24"/>
          <w:szCs w:val="24"/>
        </w:rPr>
      </w:pPr>
    </w:p>
    <w:p w14:paraId="24B6391D" w14:textId="03FC0CF4" w:rsidR="002B00B8" w:rsidRPr="001B3304" w:rsidRDefault="00676EAC" w:rsidP="003E1822">
      <w:pPr>
        <w:pStyle w:val="Heading4"/>
        <w:spacing w:line="276" w:lineRule="auto"/>
        <w:rPr>
          <w:rFonts w:cs="Arial"/>
          <w:color w:val="632423" w:themeColor="accent2" w:themeShade="80"/>
          <w:sz w:val="24"/>
          <w:szCs w:val="24"/>
        </w:rPr>
      </w:pPr>
      <w:r w:rsidRPr="001B3304">
        <w:rPr>
          <w:rFonts w:cs="Arial"/>
          <w:color w:val="632423" w:themeColor="accent2" w:themeShade="80"/>
          <w:sz w:val="24"/>
          <w:szCs w:val="24"/>
        </w:rPr>
        <w:t xml:space="preserve">Via Criminal </w:t>
      </w:r>
      <w:r w:rsidR="00457CBD" w:rsidRPr="001B3304">
        <w:rPr>
          <w:rFonts w:cs="Arial"/>
          <w:color w:val="632423" w:themeColor="accent2" w:themeShade="80"/>
          <w:sz w:val="24"/>
          <w:szCs w:val="24"/>
        </w:rPr>
        <w:t>Harassment</w:t>
      </w:r>
    </w:p>
    <w:p w14:paraId="52E6480F" w14:textId="77777777" w:rsidR="00676EAC" w:rsidRPr="001B3304" w:rsidRDefault="00676EAC" w:rsidP="003E1822">
      <w:pPr>
        <w:pStyle w:val="NoSpacing"/>
        <w:rPr>
          <w:szCs w:val="24"/>
        </w:rPr>
      </w:pPr>
    </w:p>
    <w:p w14:paraId="301FAF5E" w14:textId="3A35CE49" w:rsidR="00676EAC" w:rsidRPr="001B3304" w:rsidRDefault="00676EAC" w:rsidP="003E1822">
      <w:pPr>
        <w:pStyle w:val="NoSpacing"/>
        <w:rPr>
          <w:szCs w:val="24"/>
        </w:rPr>
      </w:pPr>
      <w:r w:rsidRPr="001B3304">
        <w:rPr>
          <w:szCs w:val="24"/>
        </w:rPr>
        <w:t xml:space="preserve">In s. 231(6) the listed crime or predicate offence is criminal harassment, whether completed or merely attempted. Further, the accused must also intend to cause the victim to fear for his or her own safety or the safety of another person whom the victim knows: </w:t>
      </w:r>
      <w:r w:rsidRPr="001B3304">
        <w:rPr>
          <w:i/>
          <w:iCs/>
          <w:szCs w:val="24"/>
        </w:rPr>
        <w:t xml:space="preserve">R v Province, </w:t>
      </w:r>
      <w:hyperlink r:id="rId103" w:history="1">
        <w:r w:rsidRPr="001B3304">
          <w:rPr>
            <w:rStyle w:val="Hyperlink"/>
            <w:szCs w:val="24"/>
          </w:rPr>
          <w:t>2019 ONCA 638</w:t>
        </w:r>
      </w:hyperlink>
      <w:r w:rsidRPr="001B3304">
        <w:rPr>
          <w:szCs w:val="24"/>
        </w:rPr>
        <w:t>, at para 127</w:t>
      </w:r>
    </w:p>
    <w:p w14:paraId="4A977799" w14:textId="3D37A0E2" w:rsidR="00676EAC" w:rsidRPr="001B3304" w:rsidRDefault="00676EAC" w:rsidP="003E1822">
      <w:pPr>
        <w:spacing w:line="276" w:lineRule="auto"/>
        <w:rPr>
          <w:rFonts w:ascii="Arial" w:hAnsi="Arial" w:cs="Arial"/>
        </w:rPr>
      </w:pPr>
    </w:p>
    <w:p w14:paraId="18BC9852" w14:textId="7789AC67" w:rsidR="00676EAC" w:rsidRPr="001B3304" w:rsidRDefault="00676EAC" w:rsidP="003E1822">
      <w:pPr>
        <w:spacing w:before="100" w:beforeAutospacing="1" w:after="100" w:afterAutospacing="1" w:line="276" w:lineRule="auto"/>
        <w:jc w:val="both"/>
        <w:rPr>
          <w:rFonts w:ascii="Arial" w:hAnsi="Arial" w:cs="Arial"/>
          <w:color w:val="000000"/>
        </w:rPr>
      </w:pPr>
      <w:r w:rsidRPr="001B3304">
        <w:rPr>
          <w:rFonts w:ascii="Arial" w:hAnsi="Arial" w:cs="Arial"/>
          <w:color w:val="000000"/>
        </w:rPr>
        <w:t xml:space="preserve">The offence under s.231(6) cannot be made out when the conduct alleged to constitute criminal harassment occurred while the victim slept, and was thereby unaware and unable to fear for her safety or the safety of another person: </w:t>
      </w:r>
      <w:r w:rsidRPr="001B3304">
        <w:rPr>
          <w:rFonts w:ascii="Arial" w:hAnsi="Arial" w:cs="Arial"/>
          <w:i/>
          <w:iCs/>
          <w:color w:val="000000"/>
        </w:rPr>
        <w:t xml:space="preserve">Province </w:t>
      </w:r>
      <w:r w:rsidRPr="001B3304">
        <w:rPr>
          <w:rFonts w:ascii="Arial" w:hAnsi="Arial" w:cs="Arial"/>
          <w:color w:val="000000"/>
        </w:rPr>
        <w:t>at paras 133-134</w:t>
      </w:r>
    </w:p>
    <w:p w14:paraId="77A7DB5C" w14:textId="66BC0D47" w:rsidR="00457CBD" w:rsidRPr="001B3304" w:rsidRDefault="005C023D" w:rsidP="005C023D">
      <w:pPr>
        <w:pStyle w:val="Heading4"/>
        <w:spacing w:line="276" w:lineRule="auto"/>
        <w:rPr>
          <w:rFonts w:cs="Arial"/>
          <w:color w:val="632423" w:themeColor="accent2" w:themeShade="80"/>
          <w:sz w:val="24"/>
          <w:szCs w:val="24"/>
        </w:rPr>
      </w:pPr>
      <w:r w:rsidRPr="001B3304">
        <w:rPr>
          <w:rFonts w:cs="Arial"/>
          <w:color w:val="632423" w:themeColor="accent2" w:themeShade="80"/>
          <w:sz w:val="24"/>
          <w:szCs w:val="24"/>
        </w:rPr>
        <w:t>Via Sexual Assault</w:t>
      </w:r>
    </w:p>
    <w:p w14:paraId="57563EBA" w14:textId="22B13F90" w:rsidR="005C023D" w:rsidRPr="001B3304" w:rsidRDefault="005C023D" w:rsidP="005C023D">
      <w:pPr>
        <w:rPr>
          <w:rFonts w:ascii="Arial" w:hAnsi="Arial" w:cs="Arial"/>
          <w:lang w:val="en-US"/>
        </w:rPr>
      </w:pPr>
    </w:p>
    <w:p w14:paraId="4A6E0128" w14:textId="77777777" w:rsidR="005C023D" w:rsidRPr="001B3304" w:rsidRDefault="005C023D" w:rsidP="005C023D">
      <w:pPr>
        <w:pStyle w:val="NoSpacing"/>
        <w:rPr>
          <w:szCs w:val="24"/>
        </w:rPr>
      </w:pPr>
      <w:r w:rsidRPr="001B3304">
        <w:rPr>
          <w:szCs w:val="24"/>
        </w:rPr>
        <w:t xml:space="preserve">In respect of s. s. 231(5)(b), which elevates murder to first degree murder when it occurs while the accused is committing a sexual assault, physical domination akin to forcible confinement is not a required element. Accordingly, a sexual assault arising from fraudulently obtained consent is sufficient for the purpose of s.231(5)(b): </w:t>
      </w:r>
      <w:r w:rsidRPr="001B3304">
        <w:rPr>
          <w:i/>
          <w:szCs w:val="24"/>
        </w:rPr>
        <w:t xml:space="preserve">R v </w:t>
      </w:r>
      <w:proofErr w:type="spellStart"/>
      <w:r w:rsidRPr="001B3304">
        <w:rPr>
          <w:i/>
          <w:szCs w:val="24"/>
        </w:rPr>
        <w:t>Imona</w:t>
      </w:r>
      <w:proofErr w:type="spellEnd"/>
      <w:r w:rsidRPr="001B3304">
        <w:rPr>
          <w:i/>
          <w:szCs w:val="24"/>
        </w:rPr>
        <w:t xml:space="preserve">-Russell, </w:t>
      </w:r>
      <w:hyperlink r:id="rId104" w:history="1">
        <w:r w:rsidRPr="001B3304">
          <w:rPr>
            <w:rStyle w:val="Hyperlink"/>
            <w:szCs w:val="24"/>
          </w:rPr>
          <w:t>2018 ONCA 590</w:t>
        </w:r>
      </w:hyperlink>
      <w:r w:rsidRPr="001B3304">
        <w:rPr>
          <w:szCs w:val="24"/>
        </w:rPr>
        <w:t xml:space="preserve"> at paras 10, 13-16 </w:t>
      </w:r>
    </w:p>
    <w:p w14:paraId="04E03090" w14:textId="265E09CF" w:rsidR="005C023D" w:rsidRPr="001B3304" w:rsidRDefault="005C023D" w:rsidP="005C023D">
      <w:pPr>
        <w:rPr>
          <w:rFonts w:ascii="Arial" w:hAnsi="Arial" w:cs="Arial"/>
          <w:lang w:val="en-US"/>
        </w:rPr>
      </w:pPr>
    </w:p>
    <w:p w14:paraId="5D920595" w14:textId="77777777" w:rsidR="005C023D" w:rsidRPr="001B3304" w:rsidRDefault="005C023D" w:rsidP="005C023D">
      <w:pPr>
        <w:pStyle w:val="NoSpacing"/>
        <w:rPr>
          <w:szCs w:val="24"/>
        </w:rPr>
      </w:pPr>
      <w:r w:rsidRPr="001B3304">
        <w:rPr>
          <w:szCs w:val="24"/>
        </w:rPr>
        <w:t xml:space="preserve">Provided the required linkage exists between the underlying offence and the murder, the offence of first degree murder, regardless of the order in which the offences were committed: </w:t>
      </w:r>
      <w:r w:rsidRPr="001B3304">
        <w:rPr>
          <w:i/>
          <w:iCs/>
          <w:szCs w:val="24"/>
        </w:rPr>
        <w:t xml:space="preserve">R v Singh, </w:t>
      </w:r>
      <w:hyperlink r:id="rId105" w:history="1">
        <w:r w:rsidRPr="001B3304">
          <w:rPr>
            <w:rStyle w:val="Hyperlink"/>
            <w:szCs w:val="24"/>
          </w:rPr>
          <w:t>2022 ONCA 584</w:t>
        </w:r>
      </w:hyperlink>
      <w:r w:rsidRPr="001B3304">
        <w:rPr>
          <w:szCs w:val="24"/>
        </w:rPr>
        <w:t>, at para 146-149; but see paras 151-152 re sexual assaults</w:t>
      </w:r>
    </w:p>
    <w:p w14:paraId="00AB21F2" w14:textId="77777777" w:rsidR="005C023D" w:rsidRPr="001B3304" w:rsidRDefault="005C023D" w:rsidP="005C023D">
      <w:pPr>
        <w:rPr>
          <w:rFonts w:ascii="Arial" w:hAnsi="Arial" w:cs="Arial"/>
          <w:lang w:val="en-US"/>
        </w:rPr>
      </w:pPr>
    </w:p>
    <w:p w14:paraId="7DB9D5EA" w14:textId="647E8E5B" w:rsidR="002B00B8" w:rsidRPr="001B3304" w:rsidRDefault="00B05035" w:rsidP="003E1822">
      <w:pPr>
        <w:pStyle w:val="Heading2"/>
        <w:spacing w:line="276" w:lineRule="auto"/>
      </w:pPr>
      <w:bookmarkStart w:id="68" w:name="_Toc134294107"/>
      <w:r w:rsidRPr="001B3304">
        <w:lastRenderedPageBreak/>
        <w:t>Party liability in</w:t>
      </w:r>
      <w:r w:rsidR="002B00B8" w:rsidRPr="001B3304">
        <w:t xml:space="preserve"> </w:t>
      </w:r>
      <w:r w:rsidRPr="001B3304">
        <w:t>murder</w:t>
      </w:r>
      <w:bookmarkEnd w:id="68"/>
    </w:p>
    <w:p w14:paraId="60DA9598" w14:textId="77777777" w:rsidR="00B05035" w:rsidRPr="001B3304" w:rsidRDefault="00B05035" w:rsidP="00B05035">
      <w:pPr>
        <w:spacing w:line="276" w:lineRule="auto"/>
        <w:rPr>
          <w:rFonts w:ascii="Arial" w:hAnsi="Arial" w:cs="Arial"/>
        </w:rPr>
      </w:pPr>
    </w:p>
    <w:p w14:paraId="3CA9C8F4" w14:textId="77777777" w:rsidR="00B05035" w:rsidRPr="001B3304" w:rsidRDefault="00B05035">
      <w:pPr>
        <w:pStyle w:val="Heading3"/>
        <w:numPr>
          <w:ilvl w:val="0"/>
          <w:numId w:val="48"/>
        </w:numPr>
      </w:pPr>
      <w:bookmarkStart w:id="69" w:name="_Toc94364238"/>
      <w:bookmarkStart w:id="70" w:name="_Toc134294108"/>
      <w:r w:rsidRPr="001B3304">
        <w:t>Co-Principals to Murder</w:t>
      </w:r>
      <w:bookmarkEnd w:id="69"/>
      <w:bookmarkEnd w:id="70"/>
    </w:p>
    <w:p w14:paraId="588EFF39" w14:textId="6AF9B7E5" w:rsidR="00B05035" w:rsidRPr="001B3304" w:rsidRDefault="00B05035" w:rsidP="00B05035">
      <w:pPr>
        <w:pStyle w:val="NoSpacing"/>
        <w:rPr>
          <w:szCs w:val="24"/>
        </w:rPr>
      </w:pPr>
      <w:r w:rsidRPr="001B3304">
        <w:rPr>
          <w:szCs w:val="24"/>
        </w:rPr>
        <w:t>Co-principals to murder are liable where they “together form an intention to commit an offence, are present at its commission, and contribute to it, although each does not personally commit all the essential elements of the offence. The parties must have had the requisite intention.</w:t>
      </w:r>
    </w:p>
    <w:p w14:paraId="0910C5E1" w14:textId="377FDFEF" w:rsidR="00B05035" w:rsidRPr="001B3304" w:rsidRDefault="00B05035" w:rsidP="00B05035">
      <w:pPr>
        <w:pStyle w:val="NoSpacing"/>
        <w:rPr>
          <w:szCs w:val="24"/>
        </w:rPr>
      </w:pPr>
      <w:r w:rsidRPr="001B3304">
        <w:rPr>
          <w:szCs w:val="24"/>
        </w:rPr>
        <w:t xml:space="preserve"> </w:t>
      </w:r>
    </w:p>
    <w:p w14:paraId="00E20B99" w14:textId="77777777" w:rsidR="00B05035" w:rsidRPr="001B3304" w:rsidRDefault="00B05035" w:rsidP="00B05035">
      <w:pPr>
        <w:pStyle w:val="NoSpacing"/>
        <w:rPr>
          <w:szCs w:val="24"/>
        </w:rPr>
      </w:pPr>
      <w:r w:rsidRPr="001B3304">
        <w:rPr>
          <w:szCs w:val="24"/>
        </w:rPr>
        <w:t>The ultimate questions for the jury were: (1) who were the participants in and (2) can it be inferred from their conduct that they had the requisite intent for murder, namely, that (</w:t>
      </w:r>
      <w:proofErr w:type="spellStart"/>
      <w:r w:rsidRPr="001B3304">
        <w:rPr>
          <w:szCs w:val="24"/>
        </w:rPr>
        <w:t>i</w:t>
      </w:r>
      <w:proofErr w:type="spellEnd"/>
      <w:r w:rsidRPr="001B3304">
        <w:rPr>
          <w:szCs w:val="24"/>
        </w:rPr>
        <w:t xml:space="preserve">) they intended to cause death; or (ii) they intended to cause bodily harm that they knew was likely to cause death and were reckless as to whether or not death ensued? </w:t>
      </w:r>
      <w:r w:rsidRPr="001B3304">
        <w:rPr>
          <w:i/>
          <w:iCs/>
          <w:szCs w:val="24"/>
        </w:rPr>
        <w:t xml:space="preserve">R v </w:t>
      </w:r>
      <w:proofErr w:type="spellStart"/>
      <w:r w:rsidRPr="001B3304">
        <w:rPr>
          <w:i/>
          <w:iCs/>
          <w:szCs w:val="24"/>
        </w:rPr>
        <w:t>Abdulle</w:t>
      </w:r>
      <w:proofErr w:type="spellEnd"/>
      <w:r w:rsidRPr="001B3304">
        <w:rPr>
          <w:i/>
          <w:iCs/>
          <w:szCs w:val="24"/>
        </w:rPr>
        <w:t xml:space="preserve">, </w:t>
      </w:r>
      <w:r w:rsidRPr="001B3304">
        <w:rPr>
          <w:szCs w:val="24"/>
        </w:rPr>
        <w:t>2020 ONCA 106, at paras 28-32</w:t>
      </w:r>
    </w:p>
    <w:p w14:paraId="795F8768" w14:textId="7AE3908B" w:rsidR="00B05035" w:rsidRPr="001B3304" w:rsidRDefault="00B05035" w:rsidP="003E1822">
      <w:pPr>
        <w:spacing w:line="276" w:lineRule="auto"/>
        <w:rPr>
          <w:rFonts w:ascii="Arial" w:hAnsi="Arial" w:cs="Arial"/>
        </w:rPr>
      </w:pPr>
    </w:p>
    <w:p w14:paraId="072D2BE6" w14:textId="77777777" w:rsidR="00B05035" w:rsidRPr="001B3304" w:rsidRDefault="00B05035" w:rsidP="003E1822">
      <w:pPr>
        <w:spacing w:line="276" w:lineRule="auto"/>
        <w:rPr>
          <w:rFonts w:ascii="Arial" w:hAnsi="Arial" w:cs="Arial"/>
        </w:rPr>
      </w:pPr>
    </w:p>
    <w:p w14:paraId="2C6F3BF3" w14:textId="4E3B2A7F" w:rsidR="00B05035" w:rsidRPr="001B3304" w:rsidRDefault="00B05035">
      <w:pPr>
        <w:pStyle w:val="Heading3"/>
        <w:numPr>
          <w:ilvl w:val="0"/>
          <w:numId w:val="48"/>
        </w:numPr>
      </w:pPr>
      <w:bookmarkStart w:id="71" w:name="_Toc134294109"/>
      <w:r w:rsidRPr="001B3304">
        <w:t>Aiding and Abetting a Murder</w:t>
      </w:r>
      <w:bookmarkEnd w:id="71"/>
    </w:p>
    <w:p w14:paraId="6F26B6CC" w14:textId="77777777" w:rsidR="002B00B8" w:rsidRPr="001B3304" w:rsidRDefault="002B00B8" w:rsidP="003E1822">
      <w:pPr>
        <w:pStyle w:val="NoSpacing"/>
        <w:rPr>
          <w:szCs w:val="24"/>
        </w:rPr>
      </w:pPr>
      <w:r w:rsidRPr="001B3304">
        <w:rPr>
          <w:szCs w:val="24"/>
        </w:rPr>
        <w:t xml:space="preserve">An aider or abettor must have both knowledge and intention. He or she must know that the principal actor intends to commit the murder and must intend to assist or encourage the principal actor in committing it. Knowledge of the principal actor’s intention can involve knowledge of subjective foresight of death or intention to cause death (second degree murder), or knowledge of planning and deliberation (first degree murder): </w:t>
      </w:r>
      <w:r w:rsidRPr="001B3304">
        <w:rPr>
          <w:i/>
          <w:szCs w:val="24"/>
        </w:rPr>
        <w:t xml:space="preserve">R v </w:t>
      </w:r>
      <w:proofErr w:type="spellStart"/>
      <w:r w:rsidRPr="001B3304">
        <w:rPr>
          <w:i/>
          <w:szCs w:val="24"/>
        </w:rPr>
        <w:t>Zoldi</w:t>
      </w:r>
      <w:proofErr w:type="spellEnd"/>
      <w:r w:rsidRPr="001B3304">
        <w:rPr>
          <w:i/>
          <w:szCs w:val="24"/>
        </w:rPr>
        <w:t xml:space="preserve">, </w:t>
      </w:r>
      <w:hyperlink r:id="rId106" w:history="1">
        <w:r w:rsidRPr="001B3304">
          <w:rPr>
            <w:rStyle w:val="Hyperlink"/>
            <w:szCs w:val="24"/>
          </w:rPr>
          <w:t>2018 ONCA 384</w:t>
        </w:r>
      </w:hyperlink>
      <w:r w:rsidRPr="001B3304">
        <w:rPr>
          <w:szCs w:val="24"/>
        </w:rPr>
        <w:t xml:space="preserve"> at paras 22-23 </w:t>
      </w:r>
    </w:p>
    <w:p w14:paraId="3B3FA11A" w14:textId="56D39785" w:rsidR="002B00B8" w:rsidRPr="001B3304" w:rsidRDefault="002B00B8" w:rsidP="003E1822">
      <w:pPr>
        <w:spacing w:line="276" w:lineRule="auto"/>
        <w:rPr>
          <w:rFonts w:ascii="Arial" w:hAnsi="Arial" w:cs="Arial"/>
        </w:rPr>
      </w:pPr>
    </w:p>
    <w:p w14:paraId="6295212E" w14:textId="3EAD3788" w:rsidR="00B05035" w:rsidRPr="001B3304" w:rsidRDefault="00B05035" w:rsidP="00B05035">
      <w:pPr>
        <w:pStyle w:val="NoSpacing"/>
        <w:rPr>
          <w:szCs w:val="24"/>
        </w:rPr>
      </w:pPr>
      <w:r w:rsidRPr="001B3304">
        <w:rPr>
          <w:szCs w:val="24"/>
        </w:rPr>
        <w:t>Importantly, a party can aid or abet by acting in a way that furthers, facilitates, promotes, assists or encourages the principal, and be found liable “irrespective of any causative role in the commission of the crime”: </w:t>
      </w:r>
      <w:r w:rsidRPr="001B3304">
        <w:rPr>
          <w:i/>
          <w:iCs/>
          <w:szCs w:val="24"/>
        </w:rPr>
        <w:t>R. v. Dooley</w:t>
      </w:r>
      <w:r w:rsidRPr="001B3304">
        <w:rPr>
          <w:szCs w:val="24"/>
        </w:rPr>
        <w:t xml:space="preserve">, 2009 ONCA 910 at para 123; </w:t>
      </w:r>
      <w:r w:rsidRPr="001B3304">
        <w:rPr>
          <w:i/>
          <w:szCs w:val="24"/>
        </w:rPr>
        <w:t xml:space="preserve">R v Patel, </w:t>
      </w:r>
      <w:hyperlink r:id="rId107" w:history="1">
        <w:r w:rsidRPr="001B3304">
          <w:rPr>
            <w:rStyle w:val="Hyperlink"/>
            <w:szCs w:val="24"/>
          </w:rPr>
          <w:t>2017 ONCA 702</w:t>
        </w:r>
      </w:hyperlink>
      <w:r w:rsidRPr="001B3304">
        <w:rPr>
          <w:szCs w:val="24"/>
        </w:rPr>
        <w:t xml:space="preserve"> at para 73</w:t>
      </w:r>
    </w:p>
    <w:p w14:paraId="3F3CA221" w14:textId="538532EB" w:rsidR="002B00B8" w:rsidRPr="001B3304" w:rsidRDefault="002B00B8" w:rsidP="003E1822">
      <w:pPr>
        <w:spacing w:line="276" w:lineRule="auto"/>
        <w:rPr>
          <w:rFonts w:ascii="Arial" w:hAnsi="Arial" w:cs="Arial"/>
        </w:rPr>
      </w:pPr>
    </w:p>
    <w:p w14:paraId="37FF525D" w14:textId="19F52EE1" w:rsidR="00B05035" w:rsidRPr="001B3304" w:rsidRDefault="00B05035" w:rsidP="004358F8">
      <w:pPr>
        <w:pStyle w:val="Heading3"/>
      </w:pPr>
      <w:bookmarkStart w:id="72" w:name="_Toc134294110"/>
      <w:r w:rsidRPr="001B3304">
        <w:t>Aiding and Abetting a First Degree Murder</w:t>
      </w:r>
      <w:bookmarkEnd w:id="72"/>
    </w:p>
    <w:p w14:paraId="055FB9AD" w14:textId="77777777" w:rsidR="00B05035" w:rsidRPr="001B3304" w:rsidRDefault="00B05035" w:rsidP="00B05035">
      <w:pPr>
        <w:pStyle w:val="NoSpacing"/>
        <w:rPr>
          <w:szCs w:val="24"/>
        </w:rPr>
      </w:pPr>
      <w:r w:rsidRPr="001B3304">
        <w:rPr>
          <w:szCs w:val="24"/>
        </w:rPr>
        <w:t xml:space="preserve">A person may commit planned and deliberate first degree murder as an aider and abettor, either by participating in the planning and deliberation [of a planned and deliberate murder] or by helping or encouraging what the aider and abettor knows is a planned and deliberate murder: </w:t>
      </w:r>
      <w:r w:rsidRPr="001B3304">
        <w:rPr>
          <w:i/>
          <w:szCs w:val="24"/>
        </w:rPr>
        <w:t xml:space="preserve">R v SB1, </w:t>
      </w:r>
      <w:hyperlink r:id="rId108" w:history="1">
        <w:r w:rsidRPr="001B3304">
          <w:rPr>
            <w:rStyle w:val="Hyperlink"/>
            <w:szCs w:val="24"/>
          </w:rPr>
          <w:t>2018 ONCA 807</w:t>
        </w:r>
      </w:hyperlink>
      <w:r w:rsidRPr="001B3304">
        <w:rPr>
          <w:szCs w:val="24"/>
        </w:rPr>
        <w:t>, at para 184</w:t>
      </w:r>
    </w:p>
    <w:p w14:paraId="21243707" w14:textId="77777777" w:rsidR="00B05035" w:rsidRPr="001B3304" w:rsidRDefault="00B05035" w:rsidP="003E1822">
      <w:pPr>
        <w:spacing w:line="276" w:lineRule="auto"/>
        <w:rPr>
          <w:rFonts w:ascii="Arial" w:hAnsi="Arial" w:cs="Arial"/>
        </w:rPr>
      </w:pPr>
    </w:p>
    <w:p w14:paraId="5669809F" w14:textId="50D6D263" w:rsidR="00B05035" w:rsidRPr="001B3304" w:rsidRDefault="00B05035" w:rsidP="00B05035">
      <w:pPr>
        <w:pStyle w:val="NoSpacing"/>
        <w:rPr>
          <w:szCs w:val="24"/>
        </w:rPr>
      </w:pPr>
      <w:r w:rsidRPr="001B3304">
        <w:rPr>
          <w:szCs w:val="24"/>
        </w:rPr>
        <w:t xml:space="preserve">To be found liable for first degree murder as an aider or abettor of a planned and deliberate murder, an accused must have knowledge that the murder was planned and deliberate; </w:t>
      </w:r>
      <w:proofErr w:type="spellStart"/>
      <w:r w:rsidRPr="001B3304">
        <w:rPr>
          <w:szCs w:val="24"/>
        </w:rPr>
        <w:t>wilful</w:t>
      </w:r>
      <w:proofErr w:type="spellEnd"/>
      <w:r w:rsidRPr="001B3304">
        <w:rPr>
          <w:szCs w:val="24"/>
        </w:rPr>
        <w:t xml:space="preserve"> blindness will satisfy the knowledge component of s. 21(1)(b) or (c)</w:t>
      </w:r>
    </w:p>
    <w:p w14:paraId="5C520C4F" w14:textId="77777777" w:rsidR="00B05035" w:rsidRPr="001B3304" w:rsidRDefault="00B05035" w:rsidP="00B05035">
      <w:pPr>
        <w:pStyle w:val="NoSpacing"/>
        <w:rPr>
          <w:szCs w:val="24"/>
        </w:rPr>
      </w:pPr>
    </w:p>
    <w:p w14:paraId="28783B8A" w14:textId="10455A00" w:rsidR="00B05035" w:rsidRPr="001B3304" w:rsidRDefault="00B05035" w:rsidP="00B05035">
      <w:pPr>
        <w:pStyle w:val="NoSpacing"/>
        <w:rPr>
          <w:szCs w:val="24"/>
        </w:rPr>
      </w:pPr>
      <w:r w:rsidRPr="001B3304">
        <w:rPr>
          <w:szCs w:val="24"/>
        </w:rPr>
        <w:t>The jurors need to know the essential elements of murder, the basis upon which murder becomes first degree murder, the constituent elements of aiding and abetting and, most especially, the specific basis upon which the accused’s liability as a secondary participant in first degree murder was to be decided. Drawing a clear distinction between the legal basis for the perpetrator’s liability and the basis of liability of the helper is important because the facts which the Crown must prove beyond a reasonable doubt differ depending upon whether liability flows as a perpetrator or as an aider: </w:t>
      </w:r>
      <w:r w:rsidRPr="001B3304">
        <w:rPr>
          <w:i/>
          <w:iCs/>
          <w:szCs w:val="24"/>
        </w:rPr>
        <w:t xml:space="preserve">R v Saleh, </w:t>
      </w:r>
      <w:hyperlink r:id="rId109" w:history="1">
        <w:r w:rsidRPr="001B3304">
          <w:rPr>
            <w:rStyle w:val="Hyperlink"/>
            <w:szCs w:val="24"/>
          </w:rPr>
          <w:t>2019 ONCA 819</w:t>
        </w:r>
      </w:hyperlink>
      <w:r w:rsidRPr="001B3304">
        <w:rPr>
          <w:szCs w:val="24"/>
        </w:rPr>
        <w:t>, at paras 98-100, 134</w:t>
      </w:r>
    </w:p>
    <w:p w14:paraId="4F9A5E95" w14:textId="702B56E3" w:rsidR="00F406E9" w:rsidRPr="001B3304" w:rsidRDefault="00F406E9" w:rsidP="00B05035">
      <w:pPr>
        <w:pStyle w:val="NoSpacing"/>
        <w:rPr>
          <w:szCs w:val="24"/>
        </w:rPr>
      </w:pPr>
    </w:p>
    <w:p w14:paraId="2F99B468" w14:textId="77777777" w:rsidR="00F406E9" w:rsidRPr="001B3304" w:rsidRDefault="00F406E9" w:rsidP="00F406E9">
      <w:pPr>
        <w:pStyle w:val="font7"/>
        <w:spacing w:before="0" w:beforeAutospacing="0" w:after="0" w:afterAutospacing="0" w:line="276" w:lineRule="auto"/>
        <w:jc w:val="both"/>
        <w:textAlignment w:val="baseline"/>
        <w:rPr>
          <w:rFonts w:ascii="Arial" w:hAnsi="Arial" w:cs="Arial"/>
          <w:color w:val="000000" w:themeColor="text1"/>
          <w:sz w:val="24"/>
          <w:szCs w:val="24"/>
        </w:rPr>
      </w:pPr>
      <w:r w:rsidRPr="001B3304">
        <w:rPr>
          <w:rFonts w:ascii="Arial" w:hAnsi="Arial" w:cs="Arial"/>
          <w:color w:val="000000" w:themeColor="text1"/>
          <w:sz w:val="24"/>
          <w:szCs w:val="24"/>
        </w:rPr>
        <w:t xml:space="preserve">For examples of party liability to a constructive first-degree murder based on forcible confinement and jury instructions of same, see </w:t>
      </w:r>
      <w:r w:rsidRPr="001B3304">
        <w:rPr>
          <w:rFonts w:ascii="Arial" w:hAnsi="Arial" w:cs="Arial"/>
          <w:i/>
          <w:iCs/>
          <w:color w:val="000000" w:themeColor="text1"/>
          <w:sz w:val="24"/>
          <w:szCs w:val="24"/>
        </w:rPr>
        <w:t xml:space="preserve">R v Bailey, </w:t>
      </w:r>
      <w:hyperlink r:id="rId110" w:history="1">
        <w:r w:rsidRPr="001B3304">
          <w:rPr>
            <w:rStyle w:val="Hyperlink"/>
            <w:rFonts w:ascii="Arial" w:hAnsi="Arial" w:cs="Arial"/>
            <w:color w:val="000000" w:themeColor="text1"/>
            <w:sz w:val="24"/>
            <w:szCs w:val="24"/>
          </w:rPr>
          <w:t>2022 ONCA 502</w:t>
        </w:r>
      </w:hyperlink>
      <w:r w:rsidRPr="001B3304">
        <w:rPr>
          <w:rFonts w:ascii="Arial" w:hAnsi="Arial" w:cs="Arial"/>
          <w:color w:val="000000" w:themeColor="text1"/>
          <w:sz w:val="24"/>
          <w:szCs w:val="24"/>
        </w:rPr>
        <w:t>, at paras 39-49, 63-68</w:t>
      </w:r>
    </w:p>
    <w:p w14:paraId="49B13DB9" w14:textId="36AAB739" w:rsidR="00F406E9" w:rsidRPr="001B3304" w:rsidRDefault="00F406E9" w:rsidP="00B05035">
      <w:pPr>
        <w:pStyle w:val="NoSpacing"/>
        <w:rPr>
          <w:szCs w:val="24"/>
        </w:rPr>
      </w:pPr>
    </w:p>
    <w:p w14:paraId="4E43DD73" w14:textId="61321517" w:rsidR="00F406E9" w:rsidRPr="001B3304" w:rsidRDefault="00F406E9" w:rsidP="00B05035">
      <w:pPr>
        <w:pStyle w:val="NoSpacing"/>
        <w:rPr>
          <w:szCs w:val="24"/>
        </w:rPr>
      </w:pPr>
      <w:r w:rsidRPr="001B3304">
        <w:rPr>
          <w:color w:val="000000"/>
          <w:szCs w:val="24"/>
        </w:rPr>
        <w:t>The active role of the party right up to the point of the execution by the principles makes him/her liable for first degree murder, provided that he knows that the murder will probably occur:</w:t>
      </w:r>
      <w:r w:rsidRPr="001B3304">
        <w:rPr>
          <w:color w:val="000000" w:themeColor="text1"/>
          <w:szCs w:val="24"/>
        </w:rPr>
        <w:t xml:space="preserve"> see </w:t>
      </w:r>
      <w:r w:rsidRPr="001B3304">
        <w:rPr>
          <w:i/>
          <w:iCs/>
          <w:color w:val="000000" w:themeColor="text1"/>
          <w:szCs w:val="24"/>
        </w:rPr>
        <w:t xml:space="preserve">R v Bailey, </w:t>
      </w:r>
      <w:hyperlink r:id="rId111" w:history="1">
        <w:r w:rsidRPr="001B3304">
          <w:rPr>
            <w:rStyle w:val="Hyperlink"/>
            <w:color w:val="000000" w:themeColor="text1"/>
            <w:szCs w:val="24"/>
          </w:rPr>
          <w:t>2022 ONCA 502</w:t>
        </w:r>
      </w:hyperlink>
      <w:r w:rsidRPr="001B3304">
        <w:rPr>
          <w:color w:val="000000" w:themeColor="text1"/>
          <w:szCs w:val="24"/>
        </w:rPr>
        <w:t>,</w:t>
      </w:r>
    </w:p>
    <w:p w14:paraId="3EC2E8CB" w14:textId="3717511F" w:rsidR="00B05035" w:rsidRPr="001B3304" w:rsidRDefault="00B05035" w:rsidP="003E1822">
      <w:pPr>
        <w:spacing w:line="276" w:lineRule="auto"/>
        <w:rPr>
          <w:rFonts w:ascii="Arial" w:hAnsi="Arial" w:cs="Arial"/>
        </w:rPr>
      </w:pPr>
    </w:p>
    <w:p w14:paraId="1B28BB68" w14:textId="546E62EA" w:rsidR="00B05035" w:rsidRPr="001B3304" w:rsidRDefault="00B05035" w:rsidP="004358F8">
      <w:pPr>
        <w:pStyle w:val="Heading3"/>
      </w:pPr>
      <w:bookmarkStart w:id="73" w:name="_Toc134294111"/>
      <w:r w:rsidRPr="001B3304">
        <w:t>Common Intention Murder</w:t>
      </w:r>
      <w:bookmarkEnd w:id="73"/>
    </w:p>
    <w:p w14:paraId="59C72CC5" w14:textId="29D585BF" w:rsidR="00B05035" w:rsidRPr="001B3304" w:rsidRDefault="00B05035" w:rsidP="00B05035">
      <w:pPr>
        <w:pStyle w:val="NoSpacing"/>
        <w:rPr>
          <w:szCs w:val="24"/>
        </w:rPr>
      </w:pPr>
      <w:r w:rsidRPr="001B3304">
        <w:rPr>
          <w:szCs w:val="24"/>
        </w:rPr>
        <w:t xml:space="preserve">To convict a secondary party of murder under s. 21(2), the Crown must prove that the party in fact foresaw that murder was a probable consequence of carrying out the original unlawful purpose: </w:t>
      </w:r>
      <w:r w:rsidRPr="001B3304">
        <w:rPr>
          <w:i/>
          <w:szCs w:val="24"/>
        </w:rPr>
        <w:t xml:space="preserve">R v McLellan, </w:t>
      </w:r>
      <w:hyperlink r:id="rId112" w:history="1">
        <w:r w:rsidRPr="001B3304">
          <w:rPr>
            <w:rStyle w:val="Hyperlink"/>
            <w:szCs w:val="24"/>
          </w:rPr>
          <w:t>2018 ONCA 510</w:t>
        </w:r>
      </w:hyperlink>
      <w:r w:rsidRPr="001B3304">
        <w:rPr>
          <w:szCs w:val="24"/>
        </w:rPr>
        <w:t xml:space="preserve"> at para 81; </w:t>
      </w:r>
      <w:r w:rsidRPr="001B3304">
        <w:rPr>
          <w:i/>
          <w:szCs w:val="24"/>
        </w:rPr>
        <w:t xml:space="preserve">R v Patel, </w:t>
      </w:r>
      <w:hyperlink r:id="rId113" w:history="1">
        <w:r w:rsidRPr="001B3304">
          <w:rPr>
            <w:rStyle w:val="Hyperlink"/>
            <w:szCs w:val="24"/>
          </w:rPr>
          <w:t>2017 ONCA 702</w:t>
        </w:r>
      </w:hyperlink>
      <w:r w:rsidRPr="001B3304">
        <w:rPr>
          <w:szCs w:val="24"/>
        </w:rPr>
        <w:t xml:space="preserve"> at para 42</w:t>
      </w:r>
    </w:p>
    <w:p w14:paraId="7F78C8F3" w14:textId="77777777" w:rsidR="00B05035" w:rsidRPr="001B3304" w:rsidRDefault="00B05035" w:rsidP="00B05035">
      <w:pPr>
        <w:pStyle w:val="NoSpacing"/>
        <w:rPr>
          <w:szCs w:val="24"/>
        </w:rPr>
      </w:pPr>
    </w:p>
    <w:p w14:paraId="49911E59" w14:textId="1D26DAAB" w:rsidR="00B05035" w:rsidRPr="001B3304" w:rsidRDefault="00B05035" w:rsidP="00B05035">
      <w:pPr>
        <w:pStyle w:val="NoSpacing"/>
        <w:rPr>
          <w:szCs w:val="24"/>
        </w:rPr>
      </w:pPr>
      <w:r w:rsidRPr="001B3304">
        <w:rPr>
          <w:szCs w:val="24"/>
        </w:rPr>
        <w:t xml:space="preserve">The non-shooter had to know that the shooter would probably cause the death of the deceased with either the intent to cause death, or the intent to cause bodily harm that the principal knew would likely cause death, being reckless whether death ensued or not: </w:t>
      </w:r>
      <w:r w:rsidRPr="001B3304">
        <w:rPr>
          <w:i/>
          <w:szCs w:val="24"/>
        </w:rPr>
        <w:t xml:space="preserve">McLellan </w:t>
      </w:r>
      <w:r w:rsidRPr="001B3304">
        <w:rPr>
          <w:szCs w:val="24"/>
        </w:rPr>
        <w:t>at para 85</w:t>
      </w:r>
    </w:p>
    <w:p w14:paraId="769FA37D" w14:textId="77777777" w:rsidR="00B05035" w:rsidRPr="001B3304" w:rsidRDefault="00B05035" w:rsidP="00B05035">
      <w:pPr>
        <w:pStyle w:val="NoSpacing"/>
        <w:rPr>
          <w:szCs w:val="24"/>
        </w:rPr>
      </w:pPr>
    </w:p>
    <w:p w14:paraId="34B9405D" w14:textId="77777777" w:rsidR="00B05035" w:rsidRPr="001B3304" w:rsidRDefault="00B05035" w:rsidP="00B05035">
      <w:pPr>
        <w:pStyle w:val="NoSpacing"/>
        <w:rPr>
          <w:szCs w:val="24"/>
        </w:rPr>
      </w:pPr>
    </w:p>
    <w:p w14:paraId="13C1E277" w14:textId="38743D8F" w:rsidR="00523F86" w:rsidRPr="001B3304" w:rsidRDefault="00523F86" w:rsidP="003E1822">
      <w:pPr>
        <w:pStyle w:val="Heading2"/>
        <w:spacing w:line="276" w:lineRule="auto"/>
      </w:pPr>
      <w:bookmarkStart w:id="74" w:name="_Toc134294112"/>
      <w:r w:rsidRPr="001B3304">
        <w:t>Manslaughter: S.234</w:t>
      </w:r>
      <w:bookmarkEnd w:id="74"/>
    </w:p>
    <w:p w14:paraId="1019A4CF" w14:textId="77777777" w:rsidR="00523F86" w:rsidRPr="001B3304" w:rsidRDefault="00523F86" w:rsidP="003E1822">
      <w:pPr>
        <w:pStyle w:val="NoSpacing"/>
        <w:rPr>
          <w:szCs w:val="24"/>
        </w:rPr>
      </w:pPr>
      <w:r w:rsidRPr="001B3304">
        <w:rPr>
          <w:szCs w:val="24"/>
        </w:rPr>
        <w:lastRenderedPageBreak/>
        <w:t xml:space="preserve">Manslaughter based on criminal negligence is indistinguishable from criminal negligence causing death: </w:t>
      </w:r>
      <w:r w:rsidRPr="001B3304">
        <w:rPr>
          <w:i/>
          <w:szCs w:val="24"/>
        </w:rPr>
        <w:t xml:space="preserve">R v Plein, </w:t>
      </w:r>
      <w:hyperlink r:id="rId114" w:history="1">
        <w:r w:rsidRPr="001B3304">
          <w:rPr>
            <w:rStyle w:val="Hyperlink"/>
            <w:szCs w:val="24"/>
          </w:rPr>
          <w:t>2018 ONCA 748</w:t>
        </w:r>
      </w:hyperlink>
      <w:r w:rsidRPr="001B3304">
        <w:rPr>
          <w:szCs w:val="24"/>
        </w:rPr>
        <w:t xml:space="preserve"> at para 26; see also paras 29, 30</w:t>
      </w:r>
    </w:p>
    <w:p w14:paraId="42D447CE" w14:textId="77777777" w:rsidR="00523F86" w:rsidRPr="001B3304" w:rsidRDefault="00523F86" w:rsidP="003E1822">
      <w:pPr>
        <w:pStyle w:val="NoSpacing"/>
        <w:rPr>
          <w:szCs w:val="24"/>
        </w:rPr>
      </w:pPr>
    </w:p>
    <w:p w14:paraId="64D382EC" w14:textId="77777777" w:rsidR="00523F86" w:rsidRPr="001B3304" w:rsidRDefault="00523F86" w:rsidP="003E1822">
      <w:pPr>
        <w:pStyle w:val="NoSpacing"/>
        <w:rPr>
          <w:szCs w:val="24"/>
        </w:rPr>
      </w:pPr>
      <w:r w:rsidRPr="001B3304">
        <w:rPr>
          <w:szCs w:val="24"/>
        </w:rPr>
        <w:t>The </w:t>
      </w:r>
      <w:proofErr w:type="spellStart"/>
      <w:r w:rsidRPr="001B3304">
        <w:rPr>
          <w:i/>
          <w:iCs/>
          <w:szCs w:val="24"/>
        </w:rPr>
        <w:t>mens</w:t>
      </w:r>
      <w:proofErr w:type="spellEnd"/>
      <w:r w:rsidRPr="001B3304">
        <w:rPr>
          <w:i/>
          <w:iCs/>
          <w:szCs w:val="24"/>
        </w:rPr>
        <w:t xml:space="preserve"> rea </w:t>
      </w:r>
      <w:r w:rsidRPr="001B3304">
        <w:rPr>
          <w:szCs w:val="24"/>
        </w:rPr>
        <w:t>for manslaughter is not </w:t>
      </w:r>
      <w:r w:rsidRPr="001B3304">
        <w:rPr>
          <w:szCs w:val="24"/>
          <w:u w:val="single"/>
        </w:rPr>
        <w:t>subjective</w:t>
      </w:r>
      <w:r w:rsidRPr="001B3304">
        <w:rPr>
          <w:szCs w:val="24"/>
        </w:rPr>
        <w:t xml:space="preserve">, but rather objective. foreseeability of the risk of bodily harm alone that is neither trivial nor transitory in the context of a dangerous act: </w:t>
      </w:r>
      <w:r w:rsidRPr="001B3304">
        <w:rPr>
          <w:i/>
          <w:szCs w:val="24"/>
        </w:rPr>
        <w:t>Plein</w:t>
      </w:r>
      <w:r w:rsidRPr="001B3304">
        <w:rPr>
          <w:szCs w:val="24"/>
        </w:rPr>
        <w:t xml:space="preserve"> at paras 35-36</w:t>
      </w:r>
    </w:p>
    <w:p w14:paraId="215296D1" w14:textId="77777777" w:rsidR="00523F86" w:rsidRPr="001B3304" w:rsidRDefault="00523F86" w:rsidP="003E1822">
      <w:pPr>
        <w:pStyle w:val="NoSpacing"/>
        <w:rPr>
          <w:szCs w:val="24"/>
        </w:rPr>
      </w:pPr>
    </w:p>
    <w:p w14:paraId="787085CC" w14:textId="77777777" w:rsidR="00523F86" w:rsidRPr="001B3304" w:rsidRDefault="00523F86" w:rsidP="003E1822">
      <w:pPr>
        <w:pStyle w:val="NoSpacing"/>
        <w:rPr>
          <w:szCs w:val="24"/>
        </w:rPr>
      </w:pPr>
      <w:r w:rsidRPr="001B3304">
        <w:rPr>
          <w:szCs w:val="24"/>
        </w:rPr>
        <w:t xml:space="preserve">An offender charged with manslaughter will be morally innocent and thereby excused from a finding of guilt where the person is shown to lack the capacity to appreciate the nature and quality or consequences of his or her acts: </w:t>
      </w:r>
      <w:r w:rsidRPr="001B3304">
        <w:rPr>
          <w:i/>
          <w:szCs w:val="24"/>
        </w:rPr>
        <w:t xml:space="preserve">Plein </w:t>
      </w:r>
      <w:r w:rsidRPr="001B3304">
        <w:rPr>
          <w:szCs w:val="24"/>
        </w:rPr>
        <w:t>at para 54</w:t>
      </w:r>
    </w:p>
    <w:p w14:paraId="0FC9D3F4" w14:textId="7D9740A5" w:rsidR="00523F86" w:rsidRPr="001B3304" w:rsidRDefault="00523F86" w:rsidP="003E1822">
      <w:pPr>
        <w:pStyle w:val="NoSpacing"/>
        <w:rPr>
          <w:szCs w:val="24"/>
        </w:rPr>
      </w:pPr>
    </w:p>
    <w:p w14:paraId="4977FE4E" w14:textId="0BE8B907" w:rsidR="00B05035" w:rsidRPr="001B3304" w:rsidRDefault="00B05035">
      <w:pPr>
        <w:pStyle w:val="Heading3"/>
        <w:numPr>
          <w:ilvl w:val="0"/>
          <w:numId w:val="49"/>
        </w:numPr>
      </w:pPr>
      <w:bookmarkStart w:id="75" w:name="_Toc134294113"/>
      <w:r w:rsidRPr="001B3304">
        <w:t>Party Liability for Manslaughter</w:t>
      </w:r>
      <w:bookmarkEnd w:id="75"/>
    </w:p>
    <w:p w14:paraId="1C3BDBF5" w14:textId="77777777" w:rsidR="00B05035" w:rsidRPr="001B3304" w:rsidRDefault="00B05035" w:rsidP="00B05035">
      <w:pPr>
        <w:pStyle w:val="NoSpacing"/>
        <w:rPr>
          <w:szCs w:val="24"/>
        </w:rPr>
      </w:pPr>
    </w:p>
    <w:p w14:paraId="28CF6A07" w14:textId="05B59ABF" w:rsidR="00B05035" w:rsidRPr="001B3304" w:rsidRDefault="00B05035" w:rsidP="00B05035">
      <w:pPr>
        <w:pStyle w:val="NoSpacing"/>
        <w:rPr>
          <w:szCs w:val="24"/>
        </w:rPr>
      </w:pPr>
      <w:r w:rsidRPr="001B3304">
        <w:rPr>
          <w:szCs w:val="24"/>
        </w:rPr>
        <w:t xml:space="preserve">To convict a party of manslaughter relying on s. 21(2), the Crown must prove that a reasonable person in all the circumstances would have foreseen that a probable consequence of carrying out the original common purpose was perpetration of an inherently dangerous act creating a risk of bodily harm to the deceased that was neither trivial nor transitory; </w:t>
      </w:r>
      <w:r w:rsidRPr="001B3304">
        <w:rPr>
          <w:i/>
          <w:szCs w:val="24"/>
        </w:rPr>
        <w:t xml:space="preserve">R v Patel, </w:t>
      </w:r>
      <w:hyperlink r:id="rId115" w:history="1">
        <w:r w:rsidRPr="001B3304">
          <w:rPr>
            <w:rStyle w:val="Hyperlink"/>
            <w:szCs w:val="24"/>
          </w:rPr>
          <w:t>2017 ONCA 702</w:t>
        </w:r>
      </w:hyperlink>
      <w:r w:rsidRPr="001B3304">
        <w:rPr>
          <w:szCs w:val="24"/>
        </w:rPr>
        <w:t xml:space="preserve"> at para 42</w:t>
      </w:r>
    </w:p>
    <w:p w14:paraId="22FE48C3" w14:textId="103A1D3C" w:rsidR="00B463E9" w:rsidRPr="001B3304" w:rsidRDefault="00B463E9" w:rsidP="00B05035">
      <w:pPr>
        <w:pStyle w:val="NoSpacing"/>
        <w:rPr>
          <w:szCs w:val="24"/>
        </w:rPr>
      </w:pPr>
    </w:p>
    <w:p w14:paraId="240E891B" w14:textId="503FC4A8" w:rsidR="00B463E9" w:rsidRPr="001B3304" w:rsidRDefault="00B463E9" w:rsidP="00B463E9">
      <w:pPr>
        <w:pStyle w:val="NoSpacing"/>
        <w:rPr>
          <w:i/>
          <w:iCs/>
          <w:szCs w:val="24"/>
        </w:rPr>
      </w:pPr>
      <w:r w:rsidRPr="001B3304">
        <w:rPr>
          <w:szCs w:val="24"/>
        </w:rPr>
        <w:t xml:space="preserve"> In the context of manslaughter arising from group assaults, triers of fact should focus on whether an accused’s actions were a significant contributing cause of death, rather than focusing on which perpetrator inflicted which wound or whether all of the wounds were caused by a single individual. In the context of group assaults, absent a discrete or intervening event, the actions of all assailants can constitute a significant contributing cause to all injuries sustained: </w:t>
      </w:r>
      <w:r w:rsidRPr="001B3304">
        <w:rPr>
          <w:i/>
          <w:iCs/>
          <w:szCs w:val="24"/>
        </w:rPr>
        <w:t xml:space="preserve">R v </w:t>
      </w:r>
      <w:proofErr w:type="spellStart"/>
      <w:r w:rsidRPr="001B3304">
        <w:rPr>
          <w:i/>
          <w:iCs/>
          <w:szCs w:val="24"/>
        </w:rPr>
        <w:t>Strathdee</w:t>
      </w:r>
      <w:proofErr w:type="spellEnd"/>
      <w:r w:rsidRPr="001B3304">
        <w:rPr>
          <w:i/>
          <w:iCs/>
          <w:szCs w:val="24"/>
        </w:rPr>
        <w:t xml:space="preserve">, </w:t>
      </w:r>
      <w:hyperlink r:id="rId116" w:history="1">
        <w:r w:rsidRPr="001B3304">
          <w:rPr>
            <w:rStyle w:val="Hyperlink"/>
            <w:szCs w:val="24"/>
          </w:rPr>
          <w:t>2021 SCC 40</w:t>
        </w:r>
      </w:hyperlink>
    </w:p>
    <w:p w14:paraId="208049B6" w14:textId="77777777" w:rsidR="00B463E9" w:rsidRPr="001B3304" w:rsidRDefault="00B463E9" w:rsidP="00B05035">
      <w:pPr>
        <w:pStyle w:val="NoSpacing"/>
        <w:rPr>
          <w:szCs w:val="24"/>
        </w:rPr>
      </w:pPr>
    </w:p>
    <w:p w14:paraId="15AD10A1" w14:textId="77777777" w:rsidR="00B05035" w:rsidRPr="001B3304" w:rsidRDefault="00B05035" w:rsidP="00B05035">
      <w:pPr>
        <w:pStyle w:val="NoSpacing"/>
        <w:rPr>
          <w:szCs w:val="24"/>
        </w:rPr>
      </w:pPr>
    </w:p>
    <w:p w14:paraId="159D0422" w14:textId="7A0EE761" w:rsidR="008B4B59" w:rsidRPr="001B3304" w:rsidRDefault="008B4B59" w:rsidP="003E1822">
      <w:pPr>
        <w:pStyle w:val="Heading2"/>
        <w:spacing w:line="276" w:lineRule="auto"/>
      </w:pPr>
      <w:bookmarkStart w:id="76" w:name="_Toc134294114"/>
      <w:r w:rsidRPr="001B3304">
        <w:t>Attempt Murder</w:t>
      </w:r>
      <w:bookmarkEnd w:id="76"/>
    </w:p>
    <w:p w14:paraId="2B8C887B" w14:textId="495C90AE" w:rsidR="008B4B59" w:rsidRPr="001B3304" w:rsidRDefault="008B4B59" w:rsidP="003E1822">
      <w:pPr>
        <w:spacing w:line="276" w:lineRule="auto"/>
        <w:rPr>
          <w:rFonts w:ascii="Arial" w:hAnsi="Arial" w:cs="Arial"/>
          <w:lang w:val="en-US"/>
        </w:rPr>
      </w:pPr>
    </w:p>
    <w:p w14:paraId="6ADF1394" w14:textId="77777777" w:rsidR="004A7B41" w:rsidRPr="001B3304" w:rsidRDefault="008B4B59" w:rsidP="003E1822">
      <w:pPr>
        <w:pStyle w:val="NoSpacing"/>
        <w:rPr>
          <w:szCs w:val="24"/>
        </w:rPr>
      </w:pPr>
      <w:r w:rsidRPr="001B3304">
        <w:rPr>
          <w:szCs w:val="24"/>
        </w:rPr>
        <w:t xml:space="preserve">The crime of attempted murder requires proof beyond a reasonable doubt that the accused intended to kill, coupled with conduct by the accused done for the purpose of carrying out that intention. The conduct must amount to “some act more than merely preparatory. The point at which an accused’s actions pass beyond </w:t>
      </w:r>
      <w:r w:rsidRPr="001B3304">
        <w:rPr>
          <w:szCs w:val="24"/>
        </w:rPr>
        <w:lastRenderedPageBreak/>
        <w:t xml:space="preserve">preparation to the actus reus component of an attempt to commit the crime is difficult to identify in the abstract. The conduct component need not be itself criminal or even unlawful. </w:t>
      </w:r>
      <w:r w:rsidR="004A7B41" w:rsidRPr="001B3304">
        <w:rPr>
          <w:szCs w:val="24"/>
        </w:rPr>
        <w:t xml:space="preserve">It can include, for example, consensual sexual activity. </w:t>
      </w:r>
    </w:p>
    <w:p w14:paraId="756CF014" w14:textId="77777777" w:rsidR="004A7B41" w:rsidRPr="001B3304" w:rsidRDefault="004A7B41" w:rsidP="003E1822">
      <w:pPr>
        <w:pStyle w:val="NoSpacing"/>
        <w:rPr>
          <w:szCs w:val="24"/>
        </w:rPr>
      </w:pPr>
    </w:p>
    <w:p w14:paraId="23B1E743" w14:textId="0AFF0B9B" w:rsidR="008B4B59" w:rsidRPr="001B3304" w:rsidRDefault="008B4B59" w:rsidP="003E1822">
      <w:pPr>
        <w:pStyle w:val="NoSpacing"/>
        <w:rPr>
          <w:szCs w:val="24"/>
        </w:rPr>
      </w:pPr>
      <w:r w:rsidRPr="001B3304">
        <w:rPr>
          <w:szCs w:val="24"/>
        </w:rPr>
        <w:t>The intention to inflict harm, even significant harm, combined with recklessness as to the consequence of inflicting that harm, does not suffice to establish the </w:t>
      </w:r>
      <w:proofErr w:type="spellStart"/>
      <w:r w:rsidRPr="001B3304">
        <w:rPr>
          <w:szCs w:val="24"/>
        </w:rPr>
        <w:t>mens</w:t>
      </w:r>
      <w:proofErr w:type="spellEnd"/>
      <w:r w:rsidRPr="001B3304">
        <w:rPr>
          <w:szCs w:val="24"/>
        </w:rPr>
        <w:t xml:space="preserve"> rea for attempted murder.</w:t>
      </w:r>
    </w:p>
    <w:p w14:paraId="0D370340" w14:textId="77777777" w:rsidR="008B4B59" w:rsidRPr="001B3304" w:rsidRDefault="008B4B59" w:rsidP="003E1822">
      <w:pPr>
        <w:pStyle w:val="NoSpacing"/>
        <w:rPr>
          <w:color w:val="000000"/>
          <w:szCs w:val="24"/>
        </w:rPr>
      </w:pPr>
    </w:p>
    <w:p w14:paraId="733BF906" w14:textId="4D614078" w:rsidR="008B4B59" w:rsidRPr="001B3304" w:rsidRDefault="008B4B59" w:rsidP="003E1822">
      <w:pPr>
        <w:pStyle w:val="NoSpacing"/>
        <w:rPr>
          <w:szCs w:val="24"/>
        </w:rPr>
      </w:pPr>
      <w:r w:rsidRPr="001B3304">
        <w:rPr>
          <w:szCs w:val="24"/>
        </w:rPr>
        <w:t xml:space="preserve">Courts have extended the intent </w:t>
      </w:r>
      <w:proofErr w:type="spellStart"/>
      <w:r w:rsidRPr="001B3304">
        <w:rPr>
          <w:szCs w:val="24"/>
        </w:rPr>
        <w:t>mens</w:t>
      </w:r>
      <w:proofErr w:type="spellEnd"/>
      <w:r w:rsidRPr="001B3304">
        <w:rPr>
          <w:szCs w:val="24"/>
        </w:rPr>
        <w:t xml:space="preserve"> rea to include the decision to carry out some purpose in the knowledge that killing is virtually certain to result, although the killing is neither the ultimate purpose in acting, nor the means chosen to achieve the desired purpose, and may even be deeply regretted. This is a higher </w:t>
      </w:r>
      <w:proofErr w:type="spellStart"/>
      <w:r w:rsidRPr="001B3304">
        <w:rPr>
          <w:szCs w:val="24"/>
        </w:rPr>
        <w:t>mens</w:t>
      </w:r>
      <w:proofErr w:type="spellEnd"/>
      <w:r w:rsidRPr="001B3304">
        <w:rPr>
          <w:szCs w:val="24"/>
        </w:rPr>
        <w:t xml:space="preserve"> rea than recklessness: R v Boone, </w:t>
      </w:r>
      <w:hyperlink r:id="rId117" w:history="1">
        <w:r w:rsidRPr="001B3304">
          <w:rPr>
            <w:rStyle w:val="Hyperlink"/>
            <w:color w:val="auto"/>
            <w:szCs w:val="24"/>
            <w:u w:val="none"/>
          </w:rPr>
          <w:t>2019 ONCA 652,</w:t>
        </w:r>
      </w:hyperlink>
      <w:r w:rsidRPr="001B3304">
        <w:rPr>
          <w:szCs w:val="24"/>
        </w:rPr>
        <w:t xml:space="preserve"> at paras 49, 51, 52, 54-57</w:t>
      </w:r>
      <w:r w:rsidR="004A7B41" w:rsidRPr="001B3304">
        <w:rPr>
          <w:szCs w:val="24"/>
        </w:rPr>
        <w:t>, 97</w:t>
      </w:r>
    </w:p>
    <w:p w14:paraId="7F272D50" w14:textId="77777777" w:rsidR="008B4B59" w:rsidRPr="001B3304" w:rsidRDefault="008B4B59" w:rsidP="003E1822">
      <w:pPr>
        <w:spacing w:line="276" w:lineRule="auto"/>
        <w:rPr>
          <w:rFonts w:ascii="Arial" w:hAnsi="Arial" w:cs="Arial"/>
          <w:lang w:val="en-US"/>
        </w:rPr>
      </w:pPr>
    </w:p>
    <w:p w14:paraId="0EF0D542" w14:textId="4D291F34" w:rsidR="009D1BDB" w:rsidRPr="001B3304" w:rsidRDefault="009D1BDB" w:rsidP="003E1822">
      <w:pPr>
        <w:spacing w:line="276" w:lineRule="auto"/>
        <w:rPr>
          <w:rFonts w:ascii="Arial" w:hAnsi="Arial" w:cs="Arial"/>
        </w:rPr>
      </w:pPr>
      <w:r w:rsidRPr="001B3304">
        <w:rPr>
          <w:rFonts w:ascii="Arial" w:hAnsi="Arial" w:cs="Arial"/>
        </w:rPr>
        <w:t xml:space="preserve">The intent to kill must be specific to the victim, not to another person. The doctrine of transferred intent </w:t>
      </w:r>
      <w:proofErr w:type="spellStart"/>
      <w:r w:rsidRPr="001B3304">
        <w:rPr>
          <w:rFonts w:ascii="Arial" w:hAnsi="Arial" w:cs="Arial"/>
        </w:rPr>
        <w:t>doe</w:t>
      </w:r>
      <w:proofErr w:type="spellEnd"/>
      <w:r w:rsidRPr="001B3304">
        <w:rPr>
          <w:rFonts w:ascii="Arial" w:hAnsi="Arial" w:cs="Arial"/>
        </w:rPr>
        <w:t xml:space="preserve"> not apply to attempt murder: </w:t>
      </w:r>
      <w:r w:rsidRPr="001B3304">
        <w:rPr>
          <w:rFonts w:ascii="Arial" w:hAnsi="Arial" w:cs="Arial"/>
          <w:i/>
          <w:iCs/>
        </w:rPr>
        <w:t xml:space="preserve">R v Tyrell, </w:t>
      </w:r>
      <w:hyperlink r:id="rId118" w:history="1">
        <w:r w:rsidRPr="001B3304">
          <w:rPr>
            <w:rStyle w:val="Hyperlink"/>
            <w:rFonts w:ascii="Arial" w:hAnsi="Arial" w:cs="Arial"/>
          </w:rPr>
          <w:t>2021 ONCA 15</w:t>
        </w:r>
      </w:hyperlink>
      <w:r w:rsidRPr="001B3304">
        <w:rPr>
          <w:rFonts w:ascii="Arial" w:hAnsi="Arial" w:cs="Arial"/>
        </w:rPr>
        <w:t>, at paras 14, 25</w:t>
      </w:r>
    </w:p>
    <w:p w14:paraId="7DAE3ED7" w14:textId="77777777" w:rsidR="00085DF5" w:rsidRPr="001B3304" w:rsidRDefault="00085DF5" w:rsidP="003E1822">
      <w:pPr>
        <w:pStyle w:val="NoSpacing"/>
        <w:rPr>
          <w:szCs w:val="24"/>
        </w:rPr>
      </w:pPr>
    </w:p>
    <w:p w14:paraId="567A4E98" w14:textId="75EBD239" w:rsidR="00396375" w:rsidRPr="001B3304" w:rsidRDefault="00DD6403" w:rsidP="003E1822">
      <w:pPr>
        <w:pStyle w:val="Heading2"/>
        <w:spacing w:line="276" w:lineRule="auto"/>
      </w:pPr>
      <w:bookmarkStart w:id="77" w:name="_Toc134294115"/>
      <w:r w:rsidRPr="001B3304">
        <w:t>Criminal H</w:t>
      </w:r>
      <w:r w:rsidR="00396375" w:rsidRPr="001B3304">
        <w:t>arassment: s.264(1)</w:t>
      </w:r>
      <w:bookmarkEnd w:id="77"/>
    </w:p>
    <w:p w14:paraId="2D2610C2" w14:textId="77777777" w:rsidR="00396375" w:rsidRPr="001B3304" w:rsidRDefault="00396375" w:rsidP="003E1822">
      <w:pPr>
        <w:spacing w:line="276" w:lineRule="auto"/>
        <w:rPr>
          <w:rFonts w:ascii="Arial" w:hAnsi="Arial" w:cs="Arial"/>
        </w:rPr>
      </w:pPr>
    </w:p>
    <w:p w14:paraId="73F72021" w14:textId="008C92C6" w:rsidR="007E7DE9" w:rsidRPr="001B3304" w:rsidRDefault="007E7DE9" w:rsidP="003E1822">
      <w:pPr>
        <w:pStyle w:val="NoSpacing"/>
        <w:rPr>
          <w:szCs w:val="24"/>
        </w:rPr>
      </w:pPr>
      <w:r w:rsidRPr="001B3304">
        <w:rPr>
          <w:szCs w:val="24"/>
        </w:rPr>
        <w:t xml:space="preserve">Offence of criminal harassment is committed when a person, without lawful authority and knowing that, or is reckless or </w:t>
      </w:r>
      <w:proofErr w:type="spellStart"/>
      <w:r w:rsidRPr="001B3304">
        <w:rPr>
          <w:szCs w:val="24"/>
        </w:rPr>
        <w:t>wilfully</w:t>
      </w:r>
      <w:proofErr w:type="spellEnd"/>
      <w:r w:rsidRPr="001B3304">
        <w:rPr>
          <w:szCs w:val="24"/>
        </w:rPr>
        <w:t xml:space="preserve"> blind as to whether another person is harassed, does something prohibited that causes the other person reasonably, in all the circumstances, to fear for their own safety, or the safety of another person whom they know. The “something prohibited” consists of conduct described in s. 264(2), which includes “engaging in threatening conduct directed at the other person or any member of their family.”</w:t>
      </w:r>
    </w:p>
    <w:p w14:paraId="6A988D18" w14:textId="3CAB931E" w:rsidR="007E7DE9" w:rsidRPr="001B3304" w:rsidRDefault="007E7DE9" w:rsidP="003E1822">
      <w:pPr>
        <w:pStyle w:val="NoSpacing"/>
        <w:rPr>
          <w:szCs w:val="24"/>
        </w:rPr>
      </w:pPr>
      <w:r w:rsidRPr="001B3304">
        <w:rPr>
          <w:szCs w:val="24"/>
        </w:rPr>
        <w:t>The essential elements of criminal harassment where the prohibited conduct falls within s. 264(2)(d) are these:</w:t>
      </w:r>
    </w:p>
    <w:p w14:paraId="7969BC57" w14:textId="1C59B88C" w:rsidR="007E7DE9" w:rsidRPr="001B3304" w:rsidRDefault="007E7DE9" w:rsidP="003E1822">
      <w:pPr>
        <w:pStyle w:val="NoSpacing"/>
        <w:numPr>
          <w:ilvl w:val="1"/>
          <w:numId w:val="14"/>
        </w:numPr>
        <w:rPr>
          <w:szCs w:val="24"/>
        </w:rPr>
      </w:pPr>
      <w:r w:rsidRPr="001B3304">
        <w:rPr>
          <w:szCs w:val="24"/>
        </w:rPr>
        <w:t>the accused engaged in threatening conduct directed at the complainant or a member of the complainant’s family;</w:t>
      </w:r>
    </w:p>
    <w:p w14:paraId="686B41A6" w14:textId="312BD1BC" w:rsidR="007E7DE9" w:rsidRPr="001B3304" w:rsidRDefault="007E7DE9" w:rsidP="003E1822">
      <w:pPr>
        <w:pStyle w:val="NoSpacing"/>
        <w:numPr>
          <w:ilvl w:val="1"/>
          <w:numId w:val="14"/>
        </w:numPr>
        <w:rPr>
          <w:szCs w:val="24"/>
        </w:rPr>
      </w:pPr>
      <w:r w:rsidRPr="001B3304">
        <w:rPr>
          <w:szCs w:val="24"/>
        </w:rPr>
        <w:t>the complainant was harassed;</w:t>
      </w:r>
    </w:p>
    <w:p w14:paraId="75C27ACE" w14:textId="7919DAB5" w:rsidR="007E7DE9" w:rsidRPr="001B3304" w:rsidRDefault="007E7DE9" w:rsidP="003E1822">
      <w:pPr>
        <w:pStyle w:val="NoSpacing"/>
        <w:numPr>
          <w:ilvl w:val="1"/>
          <w:numId w:val="14"/>
        </w:numPr>
        <w:rPr>
          <w:szCs w:val="24"/>
        </w:rPr>
      </w:pPr>
      <w:r w:rsidRPr="001B3304">
        <w:rPr>
          <w:szCs w:val="24"/>
        </w:rPr>
        <w:t xml:space="preserve">the accused knew or was reckless or </w:t>
      </w:r>
      <w:proofErr w:type="spellStart"/>
      <w:r w:rsidRPr="001B3304">
        <w:rPr>
          <w:szCs w:val="24"/>
        </w:rPr>
        <w:t>wilfully</w:t>
      </w:r>
      <w:proofErr w:type="spellEnd"/>
      <w:r w:rsidRPr="001B3304">
        <w:rPr>
          <w:szCs w:val="24"/>
        </w:rPr>
        <w:t xml:space="preserve"> blind as to whether the complainant was harassed;</w:t>
      </w:r>
    </w:p>
    <w:p w14:paraId="40EE3A8E" w14:textId="6FE8418B" w:rsidR="007E7DE9" w:rsidRPr="001B3304" w:rsidRDefault="007E7DE9" w:rsidP="003E1822">
      <w:pPr>
        <w:pStyle w:val="NoSpacing"/>
        <w:numPr>
          <w:ilvl w:val="1"/>
          <w:numId w:val="14"/>
        </w:numPr>
        <w:rPr>
          <w:szCs w:val="24"/>
        </w:rPr>
      </w:pPr>
      <w:r w:rsidRPr="001B3304">
        <w:rPr>
          <w:szCs w:val="24"/>
        </w:rPr>
        <w:t>the conduct caused the complainant to fear for her or his safety or the safety of someone she or he knew; and</w:t>
      </w:r>
    </w:p>
    <w:p w14:paraId="0E492E09" w14:textId="1E26ED73" w:rsidR="007E7DE9" w:rsidRPr="001B3304" w:rsidRDefault="007E7DE9" w:rsidP="003E1822">
      <w:pPr>
        <w:pStyle w:val="NoSpacing"/>
        <w:numPr>
          <w:ilvl w:val="1"/>
          <w:numId w:val="14"/>
        </w:numPr>
        <w:rPr>
          <w:szCs w:val="24"/>
        </w:rPr>
      </w:pPr>
      <w:r w:rsidRPr="001B3304">
        <w:rPr>
          <w:szCs w:val="24"/>
        </w:rPr>
        <w:t xml:space="preserve">the complainant’s fear was, in all the circumstances, reasonable: </w:t>
      </w:r>
      <w:r w:rsidRPr="001B3304">
        <w:rPr>
          <w:i/>
          <w:iCs/>
          <w:szCs w:val="24"/>
        </w:rPr>
        <w:t xml:space="preserve">R v Province, </w:t>
      </w:r>
      <w:hyperlink r:id="rId119" w:history="1">
        <w:r w:rsidRPr="001B3304">
          <w:rPr>
            <w:rStyle w:val="Hyperlink"/>
            <w:szCs w:val="24"/>
          </w:rPr>
          <w:t>2019 ONCA 638</w:t>
        </w:r>
      </w:hyperlink>
      <w:r w:rsidRPr="001B3304">
        <w:rPr>
          <w:szCs w:val="24"/>
        </w:rPr>
        <w:t>, at paras 119-120</w:t>
      </w:r>
    </w:p>
    <w:p w14:paraId="09D51CF1" w14:textId="77777777" w:rsidR="007E7DE9" w:rsidRPr="001B3304" w:rsidRDefault="007E7DE9" w:rsidP="003E1822">
      <w:pPr>
        <w:pStyle w:val="NoSpacing"/>
        <w:rPr>
          <w:szCs w:val="24"/>
        </w:rPr>
      </w:pPr>
    </w:p>
    <w:p w14:paraId="285DBFC4" w14:textId="15F241DB" w:rsidR="00396375" w:rsidRPr="001B3304" w:rsidRDefault="00396375" w:rsidP="003E1822">
      <w:pPr>
        <w:pStyle w:val="NoSpacing"/>
        <w:rPr>
          <w:szCs w:val="24"/>
        </w:rPr>
      </w:pPr>
      <w:r w:rsidRPr="001B3304">
        <w:rPr>
          <w:szCs w:val="24"/>
        </w:rPr>
        <w:t xml:space="preserve">The actus reus of criminal harassment is to be determined objectively. </w:t>
      </w:r>
      <w:r w:rsidR="007E7DE9" w:rsidRPr="001B3304">
        <w:rPr>
          <w:szCs w:val="24"/>
        </w:rPr>
        <w:t>T</w:t>
      </w:r>
      <w:r w:rsidRPr="001B3304">
        <w:rPr>
          <w:szCs w:val="24"/>
        </w:rPr>
        <w:t xml:space="preserve">he threatening conduct must amount to a “tool of intimidation which is designed to instill a sense of fear in the recipient”. Instilling a sense of something undesirable to come constitutes engaging in an act designed to instill a sense of fear. </w:t>
      </w:r>
    </w:p>
    <w:p w14:paraId="2F927B26" w14:textId="77777777" w:rsidR="00396375" w:rsidRPr="001B3304" w:rsidRDefault="00396375" w:rsidP="003E1822">
      <w:pPr>
        <w:pStyle w:val="NoSpacing"/>
        <w:rPr>
          <w:szCs w:val="24"/>
        </w:rPr>
      </w:pPr>
    </w:p>
    <w:p w14:paraId="218B3C72" w14:textId="77777777" w:rsidR="00396375" w:rsidRPr="001B3304" w:rsidRDefault="00396375" w:rsidP="003E1822">
      <w:pPr>
        <w:pStyle w:val="NoSpacing"/>
        <w:rPr>
          <w:szCs w:val="24"/>
        </w:rPr>
      </w:pPr>
      <w:r w:rsidRPr="001B3304">
        <w:rPr>
          <w:iCs/>
          <w:szCs w:val="24"/>
        </w:rPr>
        <w:t xml:space="preserve">The impugned conduct is to be viewed objectively, with due consideration for the circumstances in which they took place, and with regards to the effects those acts had on the recipient. </w:t>
      </w:r>
      <w:r w:rsidRPr="001B3304">
        <w:rPr>
          <w:szCs w:val="24"/>
        </w:rPr>
        <w:t>To determine whether conduct is designed to instill a sense of fear in the recipient requires focusing on the effect of the accused’s conduct on a reasonable person in the shoes of the target of the conduct”</w:t>
      </w:r>
    </w:p>
    <w:p w14:paraId="759A9A82" w14:textId="77777777" w:rsidR="00396375" w:rsidRPr="001B3304" w:rsidRDefault="00396375" w:rsidP="003E1822">
      <w:pPr>
        <w:pStyle w:val="NoSpacing"/>
        <w:rPr>
          <w:szCs w:val="24"/>
        </w:rPr>
      </w:pPr>
    </w:p>
    <w:p w14:paraId="472656CD" w14:textId="56700841" w:rsidR="00396375" w:rsidRPr="001B3304" w:rsidRDefault="00396375" w:rsidP="003E1822">
      <w:pPr>
        <w:pStyle w:val="NoSpacing"/>
        <w:rPr>
          <w:szCs w:val="24"/>
        </w:rPr>
      </w:pPr>
      <w:r w:rsidRPr="001B3304">
        <w:rPr>
          <w:szCs w:val="24"/>
        </w:rPr>
        <w:t xml:space="preserve">Threatening conduct can be “directed at” a person where the communication was made to a third party with the knowledge and intent that it would be passed on to the targeted person: </w:t>
      </w:r>
      <w:r w:rsidRPr="001B3304">
        <w:rPr>
          <w:i/>
          <w:szCs w:val="24"/>
        </w:rPr>
        <w:t xml:space="preserve">R v McBride, </w:t>
      </w:r>
      <w:hyperlink r:id="rId120" w:history="1">
        <w:r w:rsidRPr="001B3304">
          <w:rPr>
            <w:rStyle w:val="Hyperlink"/>
            <w:szCs w:val="24"/>
          </w:rPr>
          <w:t>2018 ONCA 323</w:t>
        </w:r>
      </w:hyperlink>
      <w:r w:rsidRPr="001B3304">
        <w:rPr>
          <w:szCs w:val="24"/>
        </w:rPr>
        <w:t xml:space="preserve"> at paras 21, 28, 33</w:t>
      </w:r>
    </w:p>
    <w:p w14:paraId="22F9774A" w14:textId="576204E8" w:rsidR="007E7DE9" w:rsidRPr="001B3304" w:rsidRDefault="007E7DE9" w:rsidP="003E1822">
      <w:pPr>
        <w:pStyle w:val="NoSpacing"/>
        <w:rPr>
          <w:szCs w:val="24"/>
        </w:rPr>
      </w:pPr>
    </w:p>
    <w:p w14:paraId="70F6C7D1" w14:textId="0955843B" w:rsidR="007E7DE9" w:rsidRPr="001B3304" w:rsidRDefault="007E7DE9" w:rsidP="003E1822">
      <w:pPr>
        <w:pStyle w:val="NoSpacing"/>
        <w:rPr>
          <w:szCs w:val="24"/>
        </w:rPr>
      </w:pPr>
      <w:r w:rsidRPr="001B3304">
        <w:rPr>
          <w:szCs w:val="24"/>
        </w:rPr>
        <w:t>Threatening conduct need not be repeated in order to violate s. 264(2)(d). A single threatening act directed at the complainant or a member of the complainant’s family may constitute criminal harassment. Nor need the conduct itself be harassment, provided it causes the complainant to be harassed: </w:t>
      </w:r>
    </w:p>
    <w:p w14:paraId="32845630" w14:textId="77777777" w:rsidR="007E7DE9" w:rsidRPr="001B3304" w:rsidRDefault="007E7DE9" w:rsidP="003E1822">
      <w:pPr>
        <w:pStyle w:val="NoSpacing"/>
        <w:rPr>
          <w:color w:val="000000"/>
          <w:szCs w:val="24"/>
        </w:rPr>
      </w:pPr>
    </w:p>
    <w:p w14:paraId="465C9B68" w14:textId="347497F4" w:rsidR="007E7DE9" w:rsidRPr="001B3304" w:rsidRDefault="007E7DE9" w:rsidP="003E1822">
      <w:pPr>
        <w:pStyle w:val="NoSpacing"/>
        <w:rPr>
          <w:color w:val="000000"/>
          <w:szCs w:val="24"/>
        </w:rPr>
      </w:pPr>
      <w:r w:rsidRPr="001B3304">
        <w:rPr>
          <w:color w:val="000000"/>
          <w:szCs w:val="24"/>
        </w:rPr>
        <w:t xml:space="preserve">It is not enough that the conduct vexes, disquiets or annoys the complainant. What is required is that the conduct “tormented, troubled, worried continually or chronically, plagued, </w:t>
      </w:r>
      <w:proofErr w:type="spellStart"/>
      <w:r w:rsidRPr="001B3304">
        <w:rPr>
          <w:color w:val="000000"/>
          <w:szCs w:val="24"/>
        </w:rPr>
        <w:t>bedevilled</w:t>
      </w:r>
      <w:proofErr w:type="spellEnd"/>
      <w:r w:rsidRPr="001B3304">
        <w:rPr>
          <w:color w:val="000000"/>
          <w:szCs w:val="24"/>
        </w:rPr>
        <w:t xml:space="preserve"> and badgered” the complainant: </w:t>
      </w:r>
      <w:r w:rsidRPr="001B3304">
        <w:rPr>
          <w:i/>
          <w:iCs/>
          <w:color w:val="000000"/>
          <w:szCs w:val="24"/>
        </w:rPr>
        <w:t xml:space="preserve">R v Province, </w:t>
      </w:r>
      <w:hyperlink r:id="rId121" w:history="1">
        <w:r w:rsidRPr="001B3304">
          <w:rPr>
            <w:rStyle w:val="Hyperlink"/>
            <w:szCs w:val="24"/>
          </w:rPr>
          <w:t>2019 ONCA 638,</w:t>
        </w:r>
      </w:hyperlink>
      <w:r w:rsidRPr="001B3304">
        <w:rPr>
          <w:color w:val="000000"/>
          <w:szCs w:val="24"/>
        </w:rPr>
        <w:t xml:space="preserve"> at paras 121-123</w:t>
      </w:r>
    </w:p>
    <w:p w14:paraId="2439BFA8" w14:textId="483AF95C" w:rsidR="00396375" w:rsidRPr="001B3304" w:rsidRDefault="00396375" w:rsidP="003E1822">
      <w:pPr>
        <w:spacing w:line="276" w:lineRule="auto"/>
        <w:rPr>
          <w:rFonts w:ascii="Arial" w:hAnsi="Arial" w:cs="Arial"/>
        </w:rPr>
      </w:pPr>
    </w:p>
    <w:p w14:paraId="197D16C4" w14:textId="786E35BB" w:rsidR="00225CAA" w:rsidRPr="001B3304" w:rsidRDefault="00225CAA" w:rsidP="00225CAA">
      <w:pPr>
        <w:pStyle w:val="NoSpacing"/>
        <w:rPr>
          <w:szCs w:val="24"/>
        </w:rPr>
      </w:pPr>
      <w:r w:rsidRPr="001B3304">
        <w:rPr>
          <w:szCs w:val="24"/>
        </w:rPr>
        <w:t xml:space="preserve">The mental element of intention to cause fear can be inferred from even a single act: </w:t>
      </w:r>
      <w:r w:rsidRPr="001B3304">
        <w:rPr>
          <w:i/>
          <w:iCs/>
          <w:szCs w:val="24"/>
        </w:rPr>
        <w:t xml:space="preserve">R v </w:t>
      </w:r>
      <w:proofErr w:type="spellStart"/>
      <w:r w:rsidRPr="001B3304">
        <w:rPr>
          <w:i/>
          <w:iCs/>
          <w:szCs w:val="24"/>
        </w:rPr>
        <w:t>Faria</w:t>
      </w:r>
      <w:proofErr w:type="spellEnd"/>
      <w:r w:rsidRPr="001B3304">
        <w:rPr>
          <w:i/>
          <w:iCs/>
          <w:szCs w:val="24"/>
        </w:rPr>
        <w:t xml:space="preserve">, </w:t>
      </w:r>
      <w:hyperlink r:id="rId122" w:history="1">
        <w:r w:rsidRPr="001B3304">
          <w:rPr>
            <w:rStyle w:val="Hyperlink"/>
            <w:szCs w:val="24"/>
          </w:rPr>
          <w:t>2022 ONCA 608</w:t>
        </w:r>
      </w:hyperlink>
      <w:r w:rsidRPr="001B3304">
        <w:rPr>
          <w:szCs w:val="24"/>
        </w:rPr>
        <w:t xml:space="preserve">, at para 40 </w:t>
      </w:r>
    </w:p>
    <w:p w14:paraId="6B915AA2" w14:textId="77777777" w:rsidR="00225CAA" w:rsidRPr="001B3304" w:rsidRDefault="00225CAA" w:rsidP="00225CAA">
      <w:pPr>
        <w:pStyle w:val="NoSpacing"/>
        <w:rPr>
          <w:szCs w:val="24"/>
        </w:rPr>
      </w:pPr>
    </w:p>
    <w:p w14:paraId="02CBD086" w14:textId="304A73B5" w:rsidR="0016123A" w:rsidRPr="001B3304" w:rsidRDefault="00DD6403" w:rsidP="003E1822">
      <w:pPr>
        <w:pStyle w:val="Heading2"/>
        <w:spacing w:line="276" w:lineRule="auto"/>
      </w:pPr>
      <w:bookmarkStart w:id="78" w:name="_Toc134294116"/>
      <w:r w:rsidRPr="001B3304">
        <w:t>A</w:t>
      </w:r>
      <w:r w:rsidR="0016123A" w:rsidRPr="001B3304">
        <w:t>ssault: s.265(1)</w:t>
      </w:r>
      <w:bookmarkEnd w:id="78"/>
    </w:p>
    <w:p w14:paraId="600B4F76" w14:textId="77777777" w:rsidR="0016123A" w:rsidRPr="001B3304" w:rsidRDefault="0016123A" w:rsidP="003E1822">
      <w:pPr>
        <w:spacing w:line="276" w:lineRule="auto"/>
        <w:rPr>
          <w:rFonts w:ascii="Arial" w:hAnsi="Arial" w:cs="Arial"/>
        </w:rPr>
      </w:pPr>
    </w:p>
    <w:p w14:paraId="701F3F3F" w14:textId="77777777" w:rsidR="00AF3234" w:rsidRPr="001B3304" w:rsidRDefault="00AF3234" w:rsidP="004358F8">
      <w:pPr>
        <w:pStyle w:val="Heading3"/>
        <w:numPr>
          <w:ilvl w:val="0"/>
          <w:numId w:val="31"/>
        </w:numPr>
      </w:pPr>
      <w:bookmarkStart w:id="79" w:name="_Toc134294117"/>
      <w:proofErr w:type="spellStart"/>
      <w:r w:rsidRPr="001B3304">
        <w:t>Defence</w:t>
      </w:r>
      <w:proofErr w:type="spellEnd"/>
      <w:r w:rsidRPr="001B3304">
        <w:t xml:space="preserve"> of Consent</w:t>
      </w:r>
      <w:bookmarkEnd w:id="79"/>
    </w:p>
    <w:p w14:paraId="0AF76A19" w14:textId="77777777" w:rsidR="000E487F" w:rsidRPr="001B3304" w:rsidRDefault="000E487F" w:rsidP="003E1822">
      <w:pPr>
        <w:pStyle w:val="NoSpacing"/>
        <w:rPr>
          <w:szCs w:val="24"/>
        </w:rPr>
      </w:pPr>
    </w:p>
    <w:p w14:paraId="79CA52E3" w14:textId="77777777" w:rsidR="00AF3234" w:rsidRPr="001B3304" w:rsidRDefault="00AF3234" w:rsidP="003E1822">
      <w:pPr>
        <w:pStyle w:val="NoSpacing"/>
        <w:rPr>
          <w:szCs w:val="24"/>
        </w:rPr>
      </w:pPr>
      <w:r w:rsidRPr="001B3304">
        <w:rPr>
          <w:szCs w:val="24"/>
        </w:rPr>
        <w:t xml:space="preserve">In order for the </w:t>
      </w:r>
      <w:proofErr w:type="spellStart"/>
      <w:r w:rsidRPr="001B3304">
        <w:rPr>
          <w:szCs w:val="24"/>
        </w:rPr>
        <w:t>defence</w:t>
      </w:r>
      <w:proofErr w:type="spellEnd"/>
      <w:r w:rsidRPr="001B3304">
        <w:rPr>
          <w:szCs w:val="24"/>
        </w:rPr>
        <w:t xml:space="preserve"> of consent to apply, the force applied to the complainant must not be excessive: </w:t>
      </w:r>
      <w:r w:rsidRPr="001B3304">
        <w:rPr>
          <w:i/>
          <w:iCs/>
          <w:szCs w:val="24"/>
        </w:rPr>
        <w:t>R v BW, </w:t>
      </w:r>
      <w:r w:rsidRPr="001B3304">
        <w:rPr>
          <w:szCs w:val="24"/>
          <w:u w:val="single"/>
        </w:rPr>
        <w:t>2016 ONCA 96 a</w:t>
      </w:r>
      <w:r w:rsidRPr="001B3304">
        <w:rPr>
          <w:szCs w:val="24"/>
        </w:rPr>
        <w:t>t para 18. </w:t>
      </w:r>
    </w:p>
    <w:p w14:paraId="61DACA2B" w14:textId="77777777" w:rsidR="00AF3234" w:rsidRPr="001B3304" w:rsidRDefault="00AF3234" w:rsidP="003E1822">
      <w:pPr>
        <w:pStyle w:val="NoSpacing"/>
        <w:rPr>
          <w:szCs w:val="24"/>
        </w:rPr>
      </w:pPr>
    </w:p>
    <w:p w14:paraId="218ACFA1" w14:textId="77777777" w:rsidR="00AF3234" w:rsidRPr="001B3304" w:rsidRDefault="00AF3234" w:rsidP="003E1822">
      <w:pPr>
        <w:pStyle w:val="NoSpacing"/>
        <w:rPr>
          <w:szCs w:val="24"/>
        </w:rPr>
      </w:pPr>
      <w:r w:rsidRPr="001B3304">
        <w:rPr>
          <w:szCs w:val="24"/>
        </w:rPr>
        <w:lastRenderedPageBreak/>
        <w:t xml:space="preserve">The trial judge must relate the evidence to the law of consent in a way that brings home to the jury the relationship between the law and the evidence by discussing, in concrete terms, potential scenarios available on the evidence: </w:t>
      </w:r>
      <w:r w:rsidRPr="001B3304">
        <w:rPr>
          <w:i/>
          <w:iCs/>
          <w:szCs w:val="24"/>
        </w:rPr>
        <w:t>R v McDonald</w:t>
      </w:r>
      <w:r w:rsidRPr="001B3304">
        <w:rPr>
          <w:szCs w:val="24"/>
        </w:rPr>
        <w:t xml:space="preserve">, </w:t>
      </w:r>
      <w:r w:rsidRPr="001B3304">
        <w:rPr>
          <w:szCs w:val="24"/>
          <w:u w:val="single"/>
        </w:rPr>
        <w:t>2015 ONCA 791</w:t>
      </w:r>
    </w:p>
    <w:p w14:paraId="343D7AAA" w14:textId="2EAB22F7" w:rsidR="00AF3234" w:rsidRPr="001B3304" w:rsidRDefault="00AF3234" w:rsidP="003E1822">
      <w:pPr>
        <w:spacing w:before="100" w:beforeAutospacing="1" w:after="100" w:afterAutospacing="1" w:line="276" w:lineRule="auto"/>
        <w:jc w:val="both"/>
        <w:rPr>
          <w:rFonts w:ascii="Arial" w:hAnsi="Arial" w:cs="Arial"/>
        </w:rPr>
      </w:pPr>
    </w:p>
    <w:p w14:paraId="3597AB5E" w14:textId="77777777" w:rsidR="00AF3234" w:rsidRPr="001B3304" w:rsidRDefault="00AF3234" w:rsidP="004358F8">
      <w:pPr>
        <w:pStyle w:val="Heading3"/>
        <w:numPr>
          <w:ilvl w:val="0"/>
          <w:numId w:val="31"/>
        </w:numPr>
      </w:pPr>
      <w:bookmarkStart w:id="80" w:name="_Toc134294118"/>
      <w:proofErr w:type="spellStart"/>
      <w:r w:rsidRPr="001B3304">
        <w:t>Defence</w:t>
      </w:r>
      <w:proofErr w:type="spellEnd"/>
      <w:r w:rsidRPr="001B3304">
        <w:t xml:space="preserve"> of exercise of authority</w:t>
      </w:r>
      <w:bookmarkEnd w:id="80"/>
    </w:p>
    <w:p w14:paraId="3FADDF8A" w14:textId="77777777" w:rsidR="000E487F" w:rsidRPr="001B3304" w:rsidRDefault="000E487F" w:rsidP="003E1822">
      <w:pPr>
        <w:pStyle w:val="NoSpacing"/>
        <w:rPr>
          <w:szCs w:val="24"/>
        </w:rPr>
      </w:pPr>
    </w:p>
    <w:p w14:paraId="02921F35" w14:textId="3DA54C4A" w:rsidR="00AF3234" w:rsidRPr="001B3304" w:rsidRDefault="00AF3234" w:rsidP="003E1822">
      <w:pPr>
        <w:pStyle w:val="NoSpacing"/>
        <w:rPr>
          <w:szCs w:val="24"/>
          <w:u w:val="single"/>
        </w:rPr>
      </w:pPr>
      <w:r w:rsidRPr="001B3304">
        <w:rPr>
          <w:szCs w:val="24"/>
        </w:rPr>
        <w:t>See </w:t>
      </w:r>
      <w:r w:rsidRPr="001B3304">
        <w:rPr>
          <w:i/>
          <w:iCs/>
          <w:szCs w:val="24"/>
        </w:rPr>
        <w:t>R v  Geddes</w:t>
      </w:r>
      <w:r w:rsidRPr="001B3304">
        <w:rPr>
          <w:szCs w:val="24"/>
        </w:rPr>
        <w:t xml:space="preserve">, </w:t>
      </w:r>
      <w:r w:rsidRPr="001B3304">
        <w:rPr>
          <w:szCs w:val="24"/>
          <w:u w:val="single"/>
        </w:rPr>
        <w:t>2015 ONCA 292</w:t>
      </w:r>
    </w:p>
    <w:p w14:paraId="32089729" w14:textId="419796EE" w:rsidR="002B7EB2" w:rsidRPr="001B3304" w:rsidRDefault="002B7EB2" w:rsidP="003E1822">
      <w:pPr>
        <w:pStyle w:val="NoSpacing"/>
        <w:rPr>
          <w:szCs w:val="24"/>
          <w:u w:val="single"/>
        </w:rPr>
      </w:pPr>
    </w:p>
    <w:p w14:paraId="6F85FAA8" w14:textId="01EDE2D7" w:rsidR="00B30E82" w:rsidRPr="001B3304" w:rsidRDefault="00B30E82" w:rsidP="003E1822">
      <w:pPr>
        <w:pStyle w:val="NoSpacing"/>
        <w:rPr>
          <w:szCs w:val="24"/>
          <w:u w:val="single"/>
        </w:rPr>
      </w:pPr>
    </w:p>
    <w:p w14:paraId="1E24037C" w14:textId="5E3860E8" w:rsidR="00B30E82" w:rsidRPr="001B3304" w:rsidRDefault="00B30E82" w:rsidP="003E1822">
      <w:pPr>
        <w:pStyle w:val="Heading2"/>
        <w:spacing w:line="276" w:lineRule="auto"/>
      </w:pPr>
      <w:bookmarkStart w:id="81" w:name="_Toc134294119"/>
      <w:r w:rsidRPr="001B3304">
        <w:t>Assault Causing Bodily Harm: S.267(B)</w:t>
      </w:r>
      <w:bookmarkEnd w:id="81"/>
    </w:p>
    <w:p w14:paraId="33EA7F3F" w14:textId="7BF49EC2" w:rsidR="00B30E82" w:rsidRPr="001B3304" w:rsidRDefault="00B30E82" w:rsidP="003E1822">
      <w:pPr>
        <w:pStyle w:val="NoSpacing"/>
        <w:rPr>
          <w:szCs w:val="24"/>
        </w:rPr>
      </w:pPr>
      <w:r w:rsidRPr="001B3304">
        <w:rPr>
          <w:szCs w:val="24"/>
        </w:rPr>
        <w:t>The intent required for assault causing bodily harm is the intent to commit a simple assault where it is objectively foreseeable that the assault would subject the victim to the risk of bodily harm: </w:t>
      </w:r>
      <w:r w:rsidRPr="001B3304">
        <w:rPr>
          <w:i/>
          <w:iCs/>
          <w:szCs w:val="24"/>
        </w:rPr>
        <w:t xml:space="preserve">R v </w:t>
      </w:r>
      <w:proofErr w:type="spellStart"/>
      <w:r w:rsidRPr="001B3304">
        <w:rPr>
          <w:i/>
          <w:iCs/>
          <w:szCs w:val="24"/>
        </w:rPr>
        <w:t>Pauls</w:t>
      </w:r>
      <w:proofErr w:type="spellEnd"/>
      <w:r w:rsidRPr="001B3304">
        <w:rPr>
          <w:i/>
          <w:iCs/>
          <w:szCs w:val="24"/>
        </w:rPr>
        <w:t xml:space="preserve">, </w:t>
      </w:r>
      <w:hyperlink r:id="rId123" w:history="1">
        <w:r w:rsidRPr="001B3304">
          <w:rPr>
            <w:rStyle w:val="Hyperlink"/>
            <w:szCs w:val="24"/>
          </w:rPr>
          <w:t>2020 ONCA 220</w:t>
        </w:r>
      </w:hyperlink>
      <w:r w:rsidRPr="001B3304">
        <w:rPr>
          <w:szCs w:val="24"/>
        </w:rPr>
        <w:t>, at para 101</w:t>
      </w:r>
    </w:p>
    <w:p w14:paraId="0E9BC0C9" w14:textId="77C89B78" w:rsidR="002B7EB2" w:rsidRPr="001B3304" w:rsidRDefault="002B7EB2" w:rsidP="003E1822">
      <w:pPr>
        <w:pStyle w:val="NoSpacing"/>
        <w:rPr>
          <w:szCs w:val="24"/>
        </w:rPr>
      </w:pPr>
    </w:p>
    <w:p w14:paraId="07045EBC" w14:textId="085A53F8" w:rsidR="00691D1A" w:rsidRPr="001B3304" w:rsidRDefault="00691D1A" w:rsidP="00691D1A">
      <w:pPr>
        <w:pStyle w:val="NoSpacing"/>
        <w:rPr>
          <w:szCs w:val="24"/>
        </w:rPr>
      </w:pPr>
      <w:r w:rsidRPr="001B3304">
        <w:rPr>
          <w:szCs w:val="24"/>
        </w:rPr>
        <w:t>Mere participation in a melee in which the complainant suffered bodily harm will not support a conviction of assault causing bodily harm unless accused person’s own act of participation must be intentional as opposed to accidental. Moreover, before he can be held responsible for bodily harm that may have been caused by another person involved in the group assault, it must be found that the accused knew that the others were engaging in an assault, and intended to assist in that assault: </w:t>
      </w:r>
      <w:r w:rsidRPr="001B3304">
        <w:rPr>
          <w:i/>
          <w:iCs/>
          <w:szCs w:val="24"/>
        </w:rPr>
        <w:t xml:space="preserve">R v Powell, </w:t>
      </w:r>
      <w:hyperlink r:id="rId124" w:history="1">
        <w:r w:rsidRPr="001B3304">
          <w:rPr>
            <w:rStyle w:val="Hyperlink"/>
            <w:szCs w:val="24"/>
          </w:rPr>
          <w:t>2021 ONCA 271</w:t>
        </w:r>
      </w:hyperlink>
      <w:r w:rsidRPr="001B3304">
        <w:rPr>
          <w:szCs w:val="24"/>
        </w:rPr>
        <w:t>, at para 47</w:t>
      </w:r>
    </w:p>
    <w:p w14:paraId="0C541642" w14:textId="10E68831" w:rsidR="00691D1A" w:rsidRPr="001B3304" w:rsidRDefault="00691D1A" w:rsidP="00691D1A">
      <w:pPr>
        <w:pStyle w:val="NoSpacing"/>
        <w:rPr>
          <w:szCs w:val="24"/>
        </w:rPr>
      </w:pPr>
    </w:p>
    <w:p w14:paraId="4641C029" w14:textId="7381BC60" w:rsidR="00691D1A" w:rsidRPr="001B3304" w:rsidRDefault="00691D1A" w:rsidP="00691D1A">
      <w:pPr>
        <w:pStyle w:val="NoSpacing"/>
        <w:rPr>
          <w:szCs w:val="24"/>
        </w:rPr>
      </w:pPr>
      <w:r w:rsidRPr="001B3304">
        <w:rPr>
          <w:szCs w:val="24"/>
        </w:rPr>
        <w:t xml:space="preserve">An accused who is involved in an intentional assault that results in bodily harm cannot argue that he only intended the assault and not the bodily harm that resulted, provided that a reasonable person, in the circumstances, would realize that the force intentionally applied would put the victim at risk of suffering some kind of bodily harm. This principle applies equally in group assaults. Where a reasonable person would realize that the group assault would put the victim at risk of suffering some kind of bodily harm, an accused person who has joined in a group assault cannot avoid responsibility by arguing that they did not intend to cause bodily harm: </w:t>
      </w:r>
      <w:r w:rsidRPr="001B3304">
        <w:rPr>
          <w:i/>
          <w:iCs/>
          <w:szCs w:val="24"/>
        </w:rPr>
        <w:t xml:space="preserve">R v Powell, </w:t>
      </w:r>
      <w:hyperlink r:id="rId125" w:history="1">
        <w:r w:rsidRPr="001B3304">
          <w:rPr>
            <w:rStyle w:val="Hyperlink"/>
            <w:szCs w:val="24"/>
          </w:rPr>
          <w:t>2021 ONCA 271</w:t>
        </w:r>
      </w:hyperlink>
      <w:r w:rsidRPr="001B3304">
        <w:rPr>
          <w:szCs w:val="24"/>
        </w:rPr>
        <w:t>, at para 51</w:t>
      </w:r>
    </w:p>
    <w:p w14:paraId="4DB300FA" w14:textId="77777777" w:rsidR="00691D1A" w:rsidRPr="001B3304" w:rsidRDefault="00691D1A" w:rsidP="00691D1A">
      <w:pPr>
        <w:rPr>
          <w:rFonts w:ascii="Arial" w:hAnsi="Arial" w:cs="Arial"/>
        </w:rPr>
      </w:pPr>
    </w:p>
    <w:p w14:paraId="66015176" w14:textId="77777777" w:rsidR="00691D1A" w:rsidRPr="001B3304" w:rsidRDefault="00691D1A" w:rsidP="003E1822">
      <w:pPr>
        <w:pStyle w:val="NoSpacing"/>
        <w:rPr>
          <w:szCs w:val="24"/>
        </w:rPr>
      </w:pPr>
    </w:p>
    <w:p w14:paraId="3AC3D705" w14:textId="326E8CDC" w:rsidR="00AF3234" w:rsidRPr="001B3304" w:rsidRDefault="00DD6403" w:rsidP="003E1822">
      <w:pPr>
        <w:pStyle w:val="Heading2"/>
        <w:spacing w:line="276" w:lineRule="auto"/>
      </w:pPr>
      <w:bookmarkStart w:id="82" w:name="_Toc134294120"/>
      <w:r w:rsidRPr="001B3304">
        <w:lastRenderedPageBreak/>
        <w:t>Assault with a W</w:t>
      </w:r>
      <w:r w:rsidR="002B7EB2" w:rsidRPr="001B3304">
        <w:t>eapon</w:t>
      </w:r>
      <w:r w:rsidR="00C1211B" w:rsidRPr="001B3304">
        <w:t>: s.267</w:t>
      </w:r>
      <w:r w:rsidR="00B30E82" w:rsidRPr="001B3304">
        <w:t>(a)</w:t>
      </w:r>
      <w:bookmarkEnd w:id="82"/>
    </w:p>
    <w:p w14:paraId="47402989" w14:textId="77777777" w:rsidR="002B7EB2" w:rsidRPr="001B3304" w:rsidRDefault="002B7EB2" w:rsidP="003E1822">
      <w:pPr>
        <w:spacing w:before="100" w:beforeAutospacing="1" w:after="100" w:afterAutospacing="1" w:line="276" w:lineRule="auto"/>
        <w:jc w:val="both"/>
        <w:rPr>
          <w:rFonts w:ascii="Arial" w:hAnsi="Arial" w:cs="Arial"/>
          <w:color w:val="000000"/>
        </w:rPr>
      </w:pPr>
      <w:r w:rsidRPr="001B3304">
        <w:rPr>
          <w:rFonts w:ascii="Arial" w:hAnsi="Arial" w:cs="Arial"/>
          <w:color w:val="000000"/>
        </w:rPr>
        <w:t>To prove assault with a weapon, the Crown must prove:</w:t>
      </w:r>
    </w:p>
    <w:p w14:paraId="03863F1F" w14:textId="77777777" w:rsidR="002B7EB2" w:rsidRPr="001B3304" w:rsidRDefault="002B7EB2" w:rsidP="003E1822">
      <w:pPr>
        <w:pStyle w:val="ListParagraph"/>
        <w:numPr>
          <w:ilvl w:val="0"/>
          <w:numId w:val="10"/>
        </w:numPr>
        <w:spacing w:before="100" w:beforeAutospacing="1" w:after="100" w:afterAutospacing="1" w:line="276" w:lineRule="auto"/>
        <w:jc w:val="both"/>
        <w:rPr>
          <w:rFonts w:ascii="Arial" w:hAnsi="Arial" w:cs="Arial"/>
          <w:color w:val="000000"/>
          <w:sz w:val="24"/>
          <w:szCs w:val="24"/>
        </w:rPr>
      </w:pPr>
      <w:r w:rsidRPr="001B3304">
        <w:rPr>
          <w:rFonts w:ascii="Arial" w:hAnsi="Arial" w:cs="Arial"/>
          <w:color w:val="000000"/>
          <w:sz w:val="24"/>
          <w:szCs w:val="24"/>
        </w:rPr>
        <w:t>The accused intentionally applied force to the complainant</w:t>
      </w:r>
    </w:p>
    <w:p w14:paraId="50302D47" w14:textId="77777777" w:rsidR="002B7EB2" w:rsidRPr="001B3304" w:rsidRDefault="002B7EB2" w:rsidP="003E1822">
      <w:pPr>
        <w:pStyle w:val="ListParagraph"/>
        <w:numPr>
          <w:ilvl w:val="0"/>
          <w:numId w:val="10"/>
        </w:numPr>
        <w:spacing w:before="100" w:beforeAutospacing="1" w:after="100" w:afterAutospacing="1" w:line="276" w:lineRule="auto"/>
        <w:jc w:val="both"/>
        <w:rPr>
          <w:rFonts w:ascii="Arial" w:hAnsi="Arial" w:cs="Arial"/>
          <w:color w:val="000000"/>
          <w:sz w:val="24"/>
          <w:szCs w:val="24"/>
        </w:rPr>
      </w:pPr>
      <w:r w:rsidRPr="001B3304">
        <w:rPr>
          <w:rFonts w:ascii="Arial" w:hAnsi="Arial" w:cs="Arial"/>
          <w:color w:val="000000"/>
          <w:sz w:val="24"/>
          <w:szCs w:val="24"/>
        </w:rPr>
        <w:t>The complainant did not consent to the application of force</w:t>
      </w:r>
    </w:p>
    <w:p w14:paraId="6345CC4A" w14:textId="77777777" w:rsidR="002B7EB2" w:rsidRPr="001B3304" w:rsidRDefault="002B7EB2" w:rsidP="003E1822">
      <w:pPr>
        <w:pStyle w:val="ListParagraph"/>
        <w:numPr>
          <w:ilvl w:val="0"/>
          <w:numId w:val="10"/>
        </w:numPr>
        <w:spacing w:before="100" w:beforeAutospacing="1" w:after="100" w:afterAutospacing="1" w:line="276" w:lineRule="auto"/>
        <w:jc w:val="both"/>
        <w:rPr>
          <w:rFonts w:ascii="Arial" w:hAnsi="Arial" w:cs="Arial"/>
          <w:color w:val="000000"/>
          <w:sz w:val="24"/>
          <w:szCs w:val="24"/>
        </w:rPr>
      </w:pPr>
      <w:r w:rsidRPr="001B3304">
        <w:rPr>
          <w:rFonts w:ascii="Arial" w:hAnsi="Arial" w:cs="Arial"/>
          <w:color w:val="000000"/>
          <w:sz w:val="24"/>
          <w:szCs w:val="24"/>
        </w:rPr>
        <w:t>The accused knew the complainant did not consent to the application of force</w:t>
      </w:r>
    </w:p>
    <w:p w14:paraId="07BB2860" w14:textId="77777777" w:rsidR="002B7EB2" w:rsidRPr="001B3304" w:rsidRDefault="002B7EB2" w:rsidP="003E1822">
      <w:pPr>
        <w:pStyle w:val="ListParagraph"/>
        <w:numPr>
          <w:ilvl w:val="0"/>
          <w:numId w:val="10"/>
        </w:numPr>
        <w:spacing w:before="100" w:beforeAutospacing="1" w:after="100" w:afterAutospacing="1" w:line="276" w:lineRule="auto"/>
        <w:jc w:val="both"/>
        <w:rPr>
          <w:rFonts w:ascii="Arial" w:hAnsi="Arial" w:cs="Arial"/>
          <w:color w:val="000000"/>
          <w:sz w:val="24"/>
          <w:szCs w:val="24"/>
        </w:rPr>
      </w:pPr>
      <w:r w:rsidRPr="001B3304">
        <w:rPr>
          <w:rFonts w:ascii="Arial" w:hAnsi="Arial" w:cs="Arial"/>
          <w:color w:val="000000"/>
          <w:sz w:val="24"/>
          <w:szCs w:val="24"/>
        </w:rPr>
        <w:t xml:space="preserve">In applying force to the complainant, the appellant used a weapon: </w:t>
      </w:r>
      <w:r w:rsidRPr="001B3304">
        <w:rPr>
          <w:rFonts w:ascii="Arial" w:hAnsi="Arial" w:cs="Arial"/>
          <w:i/>
          <w:color w:val="000000"/>
          <w:sz w:val="24"/>
          <w:szCs w:val="24"/>
        </w:rPr>
        <w:t xml:space="preserve">R v Walia, </w:t>
      </w:r>
      <w:hyperlink r:id="rId126" w:history="1">
        <w:r w:rsidRPr="001B3304">
          <w:rPr>
            <w:rStyle w:val="Hyperlink"/>
            <w:rFonts w:ascii="Arial" w:hAnsi="Arial" w:cs="Arial"/>
            <w:sz w:val="24"/>
            <w:szCs w:val="24"/>
          </w:rPr>
          <w:t>2018 ONCA 197</w:t>
        </w:r>
      </w:hyperlink>
      <w:r w:rsidRPr="001B3304">
        <w:rPr>
          <w:rFonts w:ascii="Arial" w:hAnsi="Arial" w:cs="Arial"/>
          <w:color w:val="000000"/>
          <w:sz w:val="24"/>
          <w:szCs w:val="24"/>
        </w:rPr>
        <w:t xml:space="preserve"> at para 9</w:t>
      </w:r>
    </w:p>
    <w:p w14:paraId="55D63C48" w14:textId="77777777" w:rsidR="002B7EB2" w:rsidRPr="001B3304" w:rsidRDefault="002B7EB2" w:rsidP="003E1822">
      <w:pPr>
        <w:spacing w:line="276" w:lineRule="auto"/>
        <w:rPr>
          <w:rFonts w:ascii="Arial" w:hAnsi="Arial" w:cs="Arial"/>
        </w:rPr>
      </w:pPr>
    </w:p>
    <w:p w14:paraId="1C0CEE57" w14:textId="4A1CABDB" w:rsidR="00621FBD" w:rsidRPr="001B3304" w:rsidRDefault="001F6E2A" w:rsidP="003E1822">
      <w:pPr>
        <w:pStyle w:val="NoSpacing"/>
        <w:rPr>
          <w:szCs w:val="24"/>
        </w:rPr>
      </w:pPr>
      <w:r w:rsidRPr="001B3304">
        <w:rPr>
          <w:szCs w:val="24"/>
        </w:rPr>
        <w:t>The first element may be met if the</w:t>
      </w:r>
      <w:r w:rsidR="00621FBD" w:rsidRPr="001B3304">
        <w:rPr>
          <w:szCs w:val="24"/>
        </w:rPr>
        <w:t xml:space="preserve"> </w:t>
      </w:r>
      <w:r w:rsidRPr="001B3304">
        <w:rPr>
          <w:szCs w:val="24"/>
        </w:rPr>
        <w:t>accused</w:t>
      </w:r>
      <w:r w:rsidR="00621FBD" w:rsidRPr="001B3304">
        <w:rPr>
          <w:szCs w:val="24"/>
        </w:rPr>
        <w:t xml:space="preserve"> threatens by an act or gesture to apply force to another person if he has, or causes that person to believe on reasonable grounds that he has, present ability to effect h</w:t>
      </w:r>
      <w:r w:rsidR="00DC0B8C" w:rsidRPr="001B3304">
        <w:rPr>
          <w:szCs w:val="24"/>
        </w:rPr>
        <w:t>is purpose. Thus, the accused’s intention of threatening an assa</w:t>
      </w:r>
      <w:r w:rsidR="00B72B75" w:rsidRPr="001B3304">
        <w:rPr>
          <w:szCs w:val="24"/>
        </w:rPr>
        <w:t xml:space="preserve">ult with a weapon is sufficient: The relevant </w:t>
      </w:r>
      <w:proofErr w:type="spellStart"/>
      <w:r w:rsidR="00B72B75" w:rsidRPr="001B3304">
        <w:rPr>
          <w:i/>
          <w:szCs w:val="24"/>
        </w:rPr>
        <w:t>mens</w:t>
      </w:r>
      <w:proofErr w:type="spellEnd"/>
      <w:r w:rsidR="00B72B75" w:rsidRPr="001B3304">
        <w:rPr>
          <w:i/>
          <w:szCs w:val="24"/>
        </w:rPr>
        <w:t xml:space="preserve"> rea </w:t>
      </w:r>
      <w:r w:rsidR="00B72B75" w:rsidRPr="001B3304">
        <w:rPr>
          <w:szCs w:val="24"/>
        </w:rPr>
        <w:t xml:space="preserve">lies in the accused’s intention to threaten, and not in the intention to carry out the threat: </w:t>
      </w:r>
      <w:r w:rsidR="0051163B" w:rsidRPr="001B3304">
        <w:rPr>
          <w:i/>
          <w:szCs w:val="24"/>
        </w:rPr>
        <w:t xml:space="preserve">R v </w:t>
      </w:r>
      <w:r w:rsidR="00DF603F" w:rsidRPr="001B3304">
        <w:rPr>
          <w:i/>
          <w:szCs w:val="24"/>
        </w:rPr>
        <w:t xml:space="preserve">Horner, </w:t>
      </w:r>
      <w:hyperlink r:id="rId127" w:history="1">
        <w:r w:rsidR="00DF603F" w:rsidRPr="001B3304">
          <w:rPr>
            <w:rStyle w:val="Hyperlink"/>
            <w:szCs w:val="24"/>
          </w:rPr>
          <w:t>2018 ONCA 971</w:t>
        </w:r>
      </w:hyperlink>
      <w:r w:rsidR="00DF603F" w:rsidRPr="001B3304">
        <w:rPr>
          <w:szCs w:val="24"/>
        </w:rPr>
        <w:t>, at para</w:t>
      </w:r>
      <w:r w:rsidR="00DC0B8C" w:rsidRPr="001B3304">
        <w:rPr>
          <w:szCs w:val="24"/>
        </w:rPr>
        <w:t>s</w:t>
      </w:r>
      <w:r w:rsidR="00DF603F" w:rsidRPr="001B3304">
        <w:rPr>
          <w:szCs w:val="24"/>
        </w:rPr>
        <w:t xml:space="preserve"> 13</w:t>
      </w:r>
      <w:r w:rsidR="00DC0B8C" w:rsidRPr="001B3304">
        <w:rPr>
          <w:szCs w:val="24"/>
        </w:rPr>
        <w:t>, 14</w:t>
      </w:r>
    </w:p>
    <w:p w14:paraId="6FD82183" w14:textId="77777777" w:rsidR="00B72B75" w:rsidRPr="001B3304" w:rsidRDefault="00B72B75" w:rsidP="003E1822">
      <w:pPr>
        <w:pStyle w:val="NoSpacing"/>
        <w:rPr>
          <w:szCs w:val="24"/>
        </w:rPr>
      </w:pPr>
    </w:p>
    <w:p w14:paraId="341356F2" w14:textId="77777777" w:rsidR="00621FBD" w:rsidRPr="001B3304" w:rsidRDefault="00621FBD" w:rsidP="003E1822">
      <w:pPr>
        <w:spacing w:line="276" w:lineRule="auto"/>
        <w:rPr>
          <w:rFonts w:ascii="Arial" w:hAnsi="Arial" w:cs="Arial"/>
        </w:rPr>
      </w:pPr>
    </w:p>
    <w:p w14:paraId="659E21C0" w14:textId="70018BE0" w:rsidR="009C01C4" w:rsidRPr="001B3304" w:rsidRDefault="009C01C4" w:rsidP="003E1822">
      <w:pPr>
        <w:pStyle w:val="NoSpacing"/>
        <w:rPr>
          <w:szCs w:val="24"/>
        </w:rPr>
      </w:pPr>
      <w:r w:rsidRPr="001B3304">
        <w:rPr>
          <w:szCs w:val="24"/>
        </w:rPr>
        <w:t>The act of holding a knife can itself constitute a threat: </w:t>
      </w:r>
      <w:r w:rsidRPr="001B3304">
        <w:rPr>
          <w:i/>
          <w:szCs w:val="24"/>
        </w:rPr>
        <w:t xml:space="preserve">Horner </w:t>
      </w:r>
      <w:r w:rsidRPr="001B3304">
        <w:rPr>
          <w:szCs w:val="24"/>
        </w:rPr>
        <w:t>at para 16</w:t>
      </w:r>
    </w:p>
    <w:p w14:paraId="6FB66E36" w14:textId="77777777" w:rsidR="009C01C4" w:rsidRPr="001B3304" w:rsidRDefault="009C01C4" w:rsidP="003E1822">
      <w:pPr>
        <w:spacing w:line="276" w:lineRule="auto"/>
        <w:rPr>
          <w:rFonts w:ascii="Arial" w:hAnsi="Arial" w:cs="Arial"/>
        </w:rPr>
      </w:pPr>
    </w:p>
    <w:p w14:paraId="359BA615" w14:textId="06158E2A" w:rsidR="00B35A88" w:rsidRPr="001B3304" w:rsidRDefault="00AF3234" w:rsidP="003E1822">
      <w:pPr>
        <w:pStyle w:val="Heading2"/>
        <w:spacing w:line="276" w:lineRule="auto"/>
      </w:pPr>
      <w:bookmarkStart w:id="83" w:name="_Toc134294121"/>
      <w:r w:rsidRPr="001B3304">
        <w:t xml:space="preserve">Aggravated Assault, </w:t>
      </w:r>
      <w:r w:rsidR="00F40832" w:rsidRPr="001B3304">
        <w:rPr>
          <w:u w:val="single"/>
        </w:rPr>
        <w:t>S.</w:t>
      </w:r>
      <w:r w:rsidRPr="001B3304">
        <w:rPr>
          <w:u w:val="single"/>
        </w:rPr>
        <w:t xml:space="preserve"> 268</w:t>
      </w:r>
      <w:bookmarkEnd w:id="83"/>
    </w:p>
    <w:p w14:paraId="28F0B8C3" w14:textId="2266659A" w:rsidR="00B35A88" w:rsidRPr="001B3304" w:rsidRDefault="00B35A88" w:rsidP="00B35A88">
      <w:pPr>
        <w:spacing w:before="100" w:beforeAutospacing="1" w:after="100" w:afterAutospacing="1"/>
        <w:jc w:val="both"/>
        <w:rPr>
          <w:rFonts w:ascii="Arial" w:hAnsi="Arial" w:cs="Arial"/>
          <w:color w:val="000000"/>
        </w:rPr>
      </w:pPr>
      <w:r w:rsidRPr="001B3304">
        <w:rPr>
          <w:rFonts w:ascii="Arial" w:hAnsi="Arial" w:cs="Arial"/>
          <w:color w:val="000000"/>
        </w:rPr>
        <w:t>The </w:t>
      </w:r>
      <w:proofErr w:type="spellStart"/>
      <w:r w:rsidRPr="001B3304">
        <w:rPr>
          <w:rFonts w:ascii="Arial" w:hAnsi="Arial" w:cs="Arial"/>
          <w:i/>
          <w:iCs/>
          <w:color w:val="000000"/>
        </w:rPr>
        <w:t>mens</w:t>
      </w:r>
      <w:proofErr w:type="spellEnd"/>
      <w:r w:rsidRPr="001B3304">
        <w:rPr>
          <w:rFonts w:ascii="Arial" w:hAnsi="Arial" w:cs="Arial"/>
          <w:i/>
          <w:iCs/>
          <w:color w:val="000000"/>
        </w:rPr>
        <w:t xml:space="preserve"> rea</w:t>
      </w:r>
      <w:r w:rsidRPr="001B3304">
        <w:rPr>
          <w:rFonts w:ascii="Arial" w:hAnsi="Arial" w:cs="Arial"/>
          <w:color w:val="000000"/>
        </w:rPr>
        <w:t> for aggravated assault is the </w:t>
      </w:r>
      <w:proofErr w:type="spellStart"/>
      <w:r w:rsidRPr="001B3304">
        <w:rPr>
          <w:rFonts w:ascii="Arial" w:hAnsi="Arial" w:cs="Arial"/>
          <w:i/>
          <w:iCs/>
          <w:color w:val="000000"/>
        </w:rPr>
        <w:t>mens</w:t>
      </w:r>
      <w:proofErr w:type="spellEnd"/>
      <w:r w:rsidRPr="001B3304">
        <w:rPr>
          <w:rFonts w:ascii="Arial" w:hAnsi="Arial" w:cs="Arial"/>
          <w:i/>
          <w:iCs/>
          <w:color w:val="000000"/>
        </w:rPr>
        <w:t xml:space="preserve"> rea</w:t>
      </w:r>
      <w:r w:rsidRPr="001B3304">
        <w:rPr>
          <w:rFonts w:ascii="Arial" w:hAnsi="Arial" w:cs="Arial"/>
          <w:color w:val="000000"/>
        </w:rPr>
        <w:t xml:space="preserve"> for the offence of assault coupled with objective foreseeability of harm. It is not necessary that there be an intent to wound or maim or disfigure: </w:t>
      </w:r>
      <w:r w:rsidRPr="001B3304">
        <w:rPr>
          <w:rFonts w:ascii="Arial" w:hAnsi="Arial" w:cs="Arial"/>
          <w:i/>
          <w:iCs/>
          <w:color w:val="000000"/>
        </w:rPr>
        <w:t xml:space="preserve">R v </w:t>
      </w:r>
      <w:proofErr w:type="spellStart"/>
      <w:r w:rsidRPr="001B3304">
        <w:rPr>
          <w:rFonts w:ascii="Arial" w:hAnsi="Arial" w:cs="Arial"/>
          <w:i/>
          <w:iCs/>
          <w:color w:val="000000"/>
        </w:rPr>
        <w:t>Seip</w:t>
      </w:r>
      <w:proofErr w:type="spellEnd"/>
      <w:r w:rsidRPr="001B3304">
        <w:rPr>
          <w:rFonts w:ascii="Arial" w:hAnsi="Arial" w:cs="Arial"/>
          <w:i/>
          <w:iCs/>
          <w:color w:val="000000"/>
        </w:rPr>
        <w:t xml:space="preserve">, </w:t>
      </w:r>
      <w:hyperlink r:id="rId128" w:history="1">
        <w:r w:rsidRPr="001B3304">
          <w:rPr>
            <w:rStyle w:val="Hyperlink"/>
            <w:rFonts w:ascii="Arial" w:hAnsi="Arial" w:cs="Arial"/>
          </w:rPr>
          <w:t>2021 ONCA 101</w:t>
        </w:r>
      </w:hyperlink>
      <w:r w:rsidRPr="001B3304">
        <w:rPr>
          <w:rFonts w:ascii="Arial" w:hAnsi="Arial" w:cs="Arial"/>
          <w:color w:val="000000"/>
        </w:rPr>
        <w:t xml:space="preserve">, at para 7. </w:t>
      </w:r>
    </w:p>
    <w:p w14:paraId="4534B147" w14:textId="2F3F42C1" w:rsidR="009502B5" w:rsidRPr="001B3304" w:rsidRDefault="00DE6C69" w:rsidP="003E1822">
      <w:pPr>
        <w:pStyle w:val="NoSpacing"/>
        <w:rPr>
          <w:szCs w:val="24"/>
        </w:rPr>
      </w:pPr>
      <w:r w:rsidRPr="001B3304">
        <w:rPr>
          <w:szCs w:val="24"/>
        </w:rPr>
        <w:t>W</w:t>
      </w:r>
      <w:r w:rsidR="009502B5" w:rsidRPr="001B3304">
        <w:rPr>
          <w:szCs w:val="24"/>
        </w:rPr>
        <w:t xml:space="preserve">hether or not a victim has been maimed </w:t>
      </w:r>
      <w:r w:rsidR="005B6568" w:rsidRPr="001B3304">
        <w:rPr>
          <w:szCs w:val="24"/>
        </w:rPr>
        <w:t>does</w:t>
      </w:r>
      <w:r w:rsidR="009502B5" w:rsidRPr="001B3304">
        <w:rPr>
          <w:szCs w:val="24"/>
        </w:rPr>
        <w:t xml:space="preserve"> not turn on whether the bodily harm inflicted upon the victim rendered the victim less able to fight back or to defend himself or herself.</w:t>
      </w:r>
      <w:r w:rsidR="005B6568" w:rsidRPr="001B3304">
        <w:rPr>
          <w:szCs w:val="24"/>
        </w:rPr>
        <w:t xml:space="preserve"> Rather, the definition of maim is </w:t>
      </w:r>
      <w:r w:rsidR="005210E1" w:rsidRPr="001B3304">
        <w:rPr>
          <w:szCs w:val="24"/>
        </w:rPr>
        <w:t>the loss of the use of some part</w:t>
      </w:r>
      <w:r w:rsidR="00AB6E31" w:rsidRPr="001B3304">
        <w:rPr>
          <w:szCs w:val="24"/>
        </w:rPr>
        <w:t xml:space="preserve"> of the body or bodily function. This loss need not necessarily be permanent</w:t>
      </w:r>
      <w:r w:rsidRPr="001B3304">
        <w:rPr>
          <w:szCs w:val="24"/>
        </w:rPr>
        <w:t>:</w:t>
      </w:r>
      <w:r w:rsidR="005210E1" w:rsidRPr="001B3304">
        <w:rPr>
          <w:szCs w:val="24"/>
        </w:rPr>
        <w:t xml:space="preserve"> </w:t>
      </w:r>
      <w:r w:rsidR="005210E1" w:rsidRPr="001B3304">
        <w:rPr>
          <w:i/>
          <w:szCs w:val="24"/>
        </w:rPr>
        <w:t>R v</w:t>
      </w:r>
      <w:r w:rsidR="00AB6E31" w:rsidRPr="001B3304">
        <w:rPr>
          <w:i/>
          <w:szCs w:val="24"/>
        </w:rPr>
        <w:t xml:space="preserve"> McPhee, </w:t>
      </w:r>
      <w:hyperlink r:id="rId129" w:history="1">
        <w:r w:rsidR="00AB6E31" w:rsidRPr="001B3304">
          <w:rPr>
            <w:rStyle w:val="Hyperlink"/>
            <w:szCs w:val="24"/>
          </w:rPr>
          <w:t>2</w:t>
        </w:r>
        <w:r w:rsidRPr="001B3304">
          <w:rPr>
            <w:rStyle w:val="Hyperlink"/>
            <w:szCs w:val="24"/>
          </w:rPr>
          <w:t>018 ONCA 1016</w:t>
        </w:r>
      </w:hyperlink>
      <w:r w:rsidRPr="001B3304">
        <w:rPr>
          <w:szCs w:val="24"/>
        </w:rPr>
        <w:t>, at paras 36, 40-42</w:t>
      </w:r>
    </w:p>
    <w:p w14:paraId="6A171BEA" w14:textId="77777777" w:rsidR="000E487F" w:rsidRPr="001B3304" w:rsidRDefault="000E487F" w:rsidP="003E1822">
      <w:pPr>
        <w:pStyle w:val="NoSpacing"/>
        <w:rPr>
          <w:szCs w:val="24"/>
        </w:rPr>
      </w:pPr>
    </w:p>
    <w:p w14:paraId="41B61C83" w14:textId="77777777" w:rsidR="00AF3234" w:rsidRPr="001B3304" w:rsidRDefault="00AF3234" w:rsidP="003E1822">
      <w:pPr>
        <w:pStyle w:val="NoSpacing"/>
        <w:rPr>
          <w:szCs w:val="24"/>
        </w:rPr>
      </w:pPr>
      <w:r w:rsidRPr="001B3304">
        <w:rPr>
          <w:szCs w:val="24"/>
        </w:rPr>
        <w:t xml:space="preserve">The assault provisions under </w:t>
      </w:r>
      <w:r w:rsidRPr="001B3304">
        <w:rPr>
          <w:szCs w:val="24"/>
          <w:u w:val="single"/>
        </w:rPr>
        <w:t>section 265(1)(a) and (b)</w:t>
      </w:r>
      <w:r w:rsidRPr="001B3304">
        <w:rPr>
          <w:szCs w:val="24"/>
        </w:rPr>
        <w:t xml:space="preserve"> constitute two pathways by which the trier of fact may find the accused guilty of aggravated assault under section 268(1) – and all members of the jury do not have to agree on the pathway chosen: </w:t>
      </w:r>
      <w:r w:rsidRPr="001B3304">
        <w:rPr>
          <w:i/>
          <w:iCs/>
          <w:szCs w:val="24"/>
        </w:rPr>
        <w:t>R v </w:t>
      </w:r>
      <w:proofErr w:type="spellStart"/>
      <w:r w:rsidRPr="001B3304">
        <w:rPr>
          <w:i/>
          <w:iCs/>
          <w:szCs w:val="24"/>
        </w:rPr>
        <w:t>Budhoo</w:t>
      </w:r>
      <w:proofErr w:type="spellEnd"/>
      <w:r w:rsidRPr="001B3304">
        <w:rPr>
          <w:szCs w:val="24"/>
        </w:rPr>
        <w:t xml:space="preserve">, </w:t>
      </w:r>
      <w:r w:rsidRPr="001B3304">
        <w:rPr>
          <w:szCs w:val="24"/>
          <w:u w:val="single"/>
        </w:rPr>
        <w:t>2015 ONCA 912</w:t>
      </w:r>
      <w:r w:rsidRPr="001B3304">
        <w:rPr>
          <w:szCs w:val="24"/>
        </w:rPr>
        <w:t> at paras 26-31</w:t>
      </w:r>
    </w:p>
    <w:p w14:paraId="0270B751" w14:textId="1FD6247B" w:rsidR="00AF3234" w:rsidRPr="001B3304" w:rsidRDefault="00AF3234" w:rsidP="003E1822">
      <w:pPr>
        <w:spacing w:before="100" w:beforeAutospacing="1" w:after="100" w:afterAutospacing="1" w:line="276" w:lineRule="auto"/>
        <w:jc w:val="both"/>
        <w:rPr>
          <w:rFonts w:ascii="Arial" w:hAnsi="Arial" w:cs="Arial"/>
        </w:rPr>
      </w:pPr>
      <w:r w:rsidRPr="001B3304">
        <w:rPr>
          <w:rFonts w:ascii="Arial" w:hAnsi="Arial" w:cs="Arial"/>
        </w:rPr>
        <w:lastRenderedPageBreak/>
        <w:t>​</w:t>
      </w:r>
    </w:p>
    <w:p w14:paraId="2448F3BB" w14:textId="1B51CD50" w:rsidR="00B05035" w:rsidRPr="001B3304" w:rsidRDefault="00B05035">
      <w:pPr>
        <w:pStyle w:val="Heading3"/>
        <w:numPr>
          <w:ilvl w:val="0"/>
          <w:numId w:val="50"/>
        </w:numPr>
      </w:pPr>
      <w:bookmarkStart w:id="84" w:name="_Toc134294122"/>
      <w:r w:rsidRPr="001B3304">
        <w:t>Party Liability to Aggravated Assault</w:t>
      </w:r>
      <w:bookmarkEnd w:id="84"/>
    </w:p>
    <w:p w14:paraId="5EC53971" w14:textId="77777777" w:rsidR="00B05035" w:rsidRPr="001B3304" w:rsidRDefault="00B05035" w:rsidP="00B05035">
      <w:pPr>
        <w:pStyle w:val="NoSpacing"/>
        <w:rPr>
          <w:szCs w:val="24"/>
        </w:rPr>
      </w:pPr>
    </w:p>
    <w:p w14:paraId="231F427C" w14:textId="3308417D" w:rsidR="00B05035" w:rsidRPr="001B3304" w:rsidRDefault="00B05035" w:rsidP="00B05035">
      <w:pPr>
        <w:pStyle w:val="NoSpacing"/>
        <w:rPr>
          <w:szCs w:val="24"/>
        </w:rPr>
      </w:pPr>
      <w:r w:rsidRPr="001B3304">
        <w:rPr>
          <w:szCs w:val="24"/>
        </w:rPr>
        <w:t>The </w:t>
      </w:r>
      <w:proofErr w:type="spellStart"/>
      <w:r w:rsidRPr="001B3304">
        <w:rPr>
          <w:rStyle w:val="ssit"/>
          <w:szCs w:val="24"/>
        </w:rPr>
        <w:t>mens</w:t>
      </w:r>
      <w:proofErr w:type="spellEnd"/>
      <w:r w:rsidRPr="001B3304">
        <w:rPr>
          <w:rStyle w:val="ssit"/>
          <w:szCs w:val="24"/>
        </w:rPr>
        <w:t xml:space="preserve"> rea</w:t>
      </w:r>
      <w:r w:rsidRPr="001B3304">
        <w:rPr>
          <w:szCs w:val="24"/>
        </w:rPr>
        <w:t> of aggravated assault is objective foresight of bodily harm. The Crown need not show that an accused alleged to be a </w:t>
      </w:r>
      <w:r w:rsidRPr="001B3304">
        <w:rPr>
          <w:rStyle w:val="sssh"/>
          <w:szCs w:val="24"/>
        </w:rPr>
        <w:t>party</w:t>
      </w:r>
      <w:r w:rsidRPr="001B3304">
        <w:rPr>
          <w:szCs w:val="24"/>
        </w:rPr>
        <w:t> to the offence of </w:t>
      </w:r>
      <w:r w:rsidRPr="001B3304">
        <w:rPr>
          <w:rStyle w:val="sssh"/>
          <w:szCs w:val="24"/>
        </w:rPr>
        <w:t>aggravated assault</w:t>
      </w:r>
      <w:r w:rsidRPr="001B3304">
        <w:rPr>
          <w:szCs w:val="24"/>
        </w:rPr>
        <w:t> had any greater </w:t>
      </w:r>
      <w:proofErr w:type="spellStart"/>
      <w:r w:rsidRPr="001B3304">
        <w:rPr>
          <w:rStyle w:val="ssit"/>
          <w:szCs w:val="24"/>
        </w:rPr>
        <w:t>mens</w:t>
      </w:r>
      <w:proofErr w:type="spellEnd"/>
      <w:r w:rsidRPr="001B3304">
        <w:rPr>
          <w:rStyle w:val="ssit"/>
          <w:szCs w:val="24"/>
        </w:rPr>
        <w:t xml:space="preserve"> rea</w:t>
      </w:r>
      <w:r w:rsidRPr="001B3304">
        <w:rPr>
          <w:szCs w:val="24"/>
        </w:rPr>
        <w:t xml:space="preserve"> than the actual perpetrator and, in particular, need not show an objective foresight of the specific wounds resulting from the assault: </w:t>
      </w:r>
      <w:r w:rsidRPr="001B3304">
        <w:rPr>
          <w:i/>
          <w:iCs/>
          <w:szCs w:val="24"/>
        </w:rPr>
        <w:t xml:space="preserve">R v </w:t>
      </w:r>
      <w:proofErr w:type="spellStart"/>
      <w:r w:rsidRPr="001B3304">
        <w:rPr>
          <w:i/>
          <w:iCs/>
          <w:szCs w:val="24"/>
        </w:rPr>
        <w:t>Seip</w:t>
      </w:r>
      <w:proofErr w:type="spellEnd"/>
      <w:r w:rsidRPr="001B3304">
        <w:rPr>
          <w:i/>
          <w:iCs/>
          <w:szCs w:val="24"/>
        </w:rPr>
        <w:t xml:space="preserve">, </w:t>
      </w:r>
      <w:r w:rsidRPr="001B3304">
        <w:rPr>
          <w:szCs w:val="24"/>
        </w:rPr>
        <w:t>2021 ONCA 101, at para 8</w:t>
      </w:r>
    </w:p>
    <w:p w14:paraId="3486F323" w14:textId="4789B6B3" w:rsidR="00F40832" w:rsidRPr="001B3304" w:rsidRDefault="00F40832" w:rsidP="003E1822">
      <w:pPr>
        <w:pStyle w:val="Heading2"/>
        <w:spacing w:line="276" w:lineRule="auto"/>
      </w:pPr>
      <w:bookmarkStart w:id="85" w:name="_Toc134294123"/>
      <w:r w:rsidRPr="001B3304">
        <w:t xml:space="preserve">Sexual </w:t>
      </w:r>
      <w:r w:rsidR="00457CBD" w:rsidRPr="001B3304">
        <w:t>A</w:t>
      </w:r>
      <w:r w:rsidRPr="001B3304">
        <w:t>ssault: s.271</w:t>
      </w:r>
      <w:bookmarkEnd w:id="85"/>
    </w:p>
    <w:p w14:paraId="382A5AE9" w14:textId="77777777" w:rsidR="00F40832" w:rsidRPr="001B3304" w:rsidRDefault="00F40832" w:rsidP="003E1822">
      <w:pPr>
        <w:spacing w:before="100" w:beforeAutospacing="1" w:after="100" w:afterAutospacing="1" w:line="276" w:lineRule="auto"/>
        <w:rPr>
          <w:rFonts w:ascii="Arial" w:hAnsi="Arial" w:cs="Arial"/>
        </w:rPr>
      </w:pPr>
    </w:p>
    <w:p w14:paraId="1389C426" w14:textId="1050A785" w:rsidR="00F40832" w:rsidRPr="001B3304" w:rsidRDefault="00F40832" w:rsidP="004358F8">
      <w:pPr>
        <w:pStyle w:val="Heading3"/>
        <w:numPr>
          <w:ilvl w:val="0"/>
          <w:numId w:val="32"/>
        </w:numPr>
      </w:pPr>
      <w:bookmarkStart w:id="86" w:name="_Toc134294124"/>
      <w:r w:rsidRPr="001B3304">
        <w:t>The Test</w:t>
      </w:r>
      <w:bookmarkEnd w:id="86"/>
    </w:p>
    <w:p w14:paraId="27369CCE" w14:textId="77777777" w:rsidR="00F40832" w:rsidRPr="001B3304" w:rsidRDefault="00F40832" w:rsidP="003E1822">
      <w:pPr>
        <w:pStyle w:val="NoSpacing"/>
        <w:numPr>
          <w:ilvl w:val="0"/>
          <w:numId w:val="5"/>
        </w:numPr>
        <w:rPr>
          <w:szCs w:val="24"/>
        </w:rPr>
      </w:pPr>
      <w:r w:rsidRPr="001B3304">
        <w:rPr>
          <w:szCs w:val="24"/>
        </w:rPr>
        <w:t>Directly or indirectly touching a person's body</w:t>
      </w:r>
    </w:p>
    <w:p w14:paraId="752A4ABF" w14:textId="68A41B61" w:rsidR="00F40832" w:rsidRPr="001B3304" w:rsidRDefault="003F5E90" w:rsidP="003E1822">
      <w:pPr>
        <w:pStyle w:val="NoSpacing"/>
        <w:numPr>
          <w:ilvl w:val="0"/>
          <w:numId w:val="5"/>
        </w:numPr>
        <w:rPr>
          <w:szCs w:val="24"/>
        </w:rPr>
      </w:pPr>
      <w:r w:rsidRPr="001B3304">
        <w:rPr>
          <w:szCs w:val="24"/>
        </w:rPr>
        <w:t>In circumstances of a sexual nature</w:t>
      </w:r>
    </w:p>
    <w:p w14:paraId="55309564" w14:textId="3702EB5E" w:rsidR="00D23B96" w:rsidRPr="001B3304" w:rsidRDefault="00F40832" w:rsidP="005C0C48">
      <w:pPr>
        <w:pStyle w:val="NoSpacing"/>
        <w:numPr>
          <w:ilvl w:val="0"/>
          <w:numId w:val="5"/>
        </w:numPr>
        <w:rPr>
          <w:szCs w:val="24"/>
        </w:rPr>
      </w:pPr>
      <w:r w:rsidRPr="001B3304">
        <w:rPr>
          <w:szCs w:val="24"/>
        </w:rPr>
        <w:t>Without their consent</w:t>
      </w:r>
    </w:p>
    <w:p w14:paraId="060C45AA" w14:textId="77777777" w:rsidR="005C0C48" w:rsidRPr="001B3304" w:rsidRDefault="005C0C48" w:rsidP="005C0C48">
      <w:pPr>
        <w:pStyle w:val="NoSpacing"/>
        <w:ind w:left="720"/>
        <w:rPr>
          <w:szCs w:val="24"/>
        </w:rPr>
      </w:pPr>
    </w:p>
    <w:p w14:paraId="601AF4E5" w14:textId="77777777" w:rsidR="00F40832" w:rsidRPr="001B3304" w:rsidRDefault="00F40832" w:rsidP="004358F8">
      <w:pPr>
        <w:pStyle w:val="Heading3"/>
        <w:numPr>
          <w:ilvl w:val="0"/>
          <w:numId w:val="32"/>
        </w:numPr>
      </w:pPr>
      <w:bookmarkStart w:id="87" w:name="_Toc134294125"/>
      <w:r w:rsidRPr="001B3304">
        <w:t>Element #1: Touching a Person's Body</w:t>
      </w:r>
      <w:bookmarkEnd w:id="87"/>
    </w:p>
    <w:p w14:paraId="0531E523" w14:textId="77777777" w:rsidR="00F40832" w:rsidRPr="001B3304" w:rsidRDefault="00F40832" w:rsidP="003E1822">
      <w:pPr>
        <w:pStyle w:val="NoSpacing"/>
        <w:rPr>
          <w:szCs w:val="24"/>
        </w:rPr>
      </w:pPr>
      <w:r w:rsidRPr="001B3304">
        <w:rPr>
          <w:szCs w:val="24"/>
        </w:rPr>
        <w:t>To commit a sexual assault, it is not necessary for the accused to touch or even verbally threaten the complainant. A person’s act or gesture, without words, force or any physical contact, can constitute a threat to apply force of a sexual nature, if it intentionally creates in another person an apprehension of imminent harm or offensive contact that affronts the person’s sexual integrity.  Coupled with a present ability to carry out the threat, this can amount to a sexual assault: </w:t>
      </w:r>
      <w:r w:rsidRPr="001B3304">
        <w:rPr>
          <w:i/>
          <w:iCs/>
          <w:szCs w:val="24"/>
        </w:rPr>
        <w:t>R v Edgar, </w:t>
      </w:r>
      <w:r w:rsidRPr="001B3304">
        <w:rPr>
          <w:szCs w:val="24"/>
          <w:u w:val="single"/>
        </w:rPr>
        <w:t>2016 ONCA 120</w:t>
      </w:r>
      <w:r w:rsidRPr="001B3304">
        <w:rPr>
          <w:szCs w:val="24"/>
        </w:rPr>
        <w:t xml:space="preserve"> at para 10</w:t>
      </w:r>
    </w:p>
    <w:p w14:paraId="6630316D" w14:textId="77777777" w:rsidR="00F40832" w:rsidRPr="001B3304" w:rsidRDefault="00F40832" w:rsidP="003E1822">
      <w:pPr>
        <w:pStyle w:val="NoSpacing"/>
        <w:rPr>
          <w:szCs w:val="24"/>
        </w:rPr>
      </w:pPr>
    </w:p>
    <w:p w14:paraId="6DC998CF" w14:textId="425D3949" w:rsidR="00F40832" w:rsidRPr="001B3304" w:rsidRDefault="00F40832" w:rsidP="003E1822">
      <w:pPr>
        <w:spacing w:before="100" w:beforeAutospacing="1" w:after="100" w:afterAutospacing="1" w:line="276" w:lineRule="auto"/>
        <w:jc w:val="both"/>
        <w:rPr>
          <w:rFonts w:ascii="Arial" w:hAnsi="Arial" w:cs="Arial"/>
          <w:color w:val="000000"/>
        </w:rPr>
      </w:pPr>
      <w:r w:rsidRPr="001B3304">
        <w:rPr>
          <w:rFonts w:ascii="Arial" w:hAnsi="Arial" w:cs="Arial"/>
          <w:color w:val="000000"/>
        </w:rPr>
        <w:t>Regardless of whether the accused was motivated by a sexual purpose, a sexual assault will be made out if the touching was, objectively speaking, sexual in nature pr was conduct capable of violating the complainant’s sexual integrity: </w:t>
      </w:r>
      <w:r w:rsidRPr="001B3304">
        <w:rPr>
          <w:rFonts w:ascii="Arial" w:hAnsi="Arial" w:cs="Arial"/>
          <w:i/>
          <w:iCs/>
          <w:color w:val="000000"/>
        </w:rPr>
        <w:t xml:space="preserve">R v Anderson, </w:t>
      </w:r>
      <w:hyperlink r:id="rId130" w:history="1">
        <w:r w:rsidRPr="001B3304">
          <w:rPr>
            <w:rStyle w:val="Hyperlink"/>
            <w:rFonts w:ascii="Arial" w:hAnsi="Arial" w:cs="Arial"/>
            <w:iCs/>
          </w:rPr>
          <w:t>2018 ONCA 1002</w:t>
        </w:r>
      </w:hyperlink>
      <w:r w:rsidRPr="001B3304">
        <w:rPr>
          <w:rFonts w:ascii="Arial" w:hAnsi="Arial" w:cs="Arial"/>
          <w:iCs/>
          <w:color w:val="000000"/>
        </w:rPr>
        <w:t>, at para 20</w:t>
      </w:r>
    </w:p>
    <w:p w14:paraId="2130CB40" w14:textId="20FCEE2A" w:rsidR="003F5E90" w:rsidRPr="001B3304" w:rsidRDefault="003F5E90" w:rsidP="004358F8">
      <w:pPr>
        <w:pStyle w:val="Heading3"/>
        <w:numPr>
          <w:ilvl w:val="0"/>
          <w:numId w:val="32"/>
        </w:numPr>
      </w:pPr>
      <w:bookmarkStart w:id="88" w:name="_Toc134294126"/>
      <w:r w:rsidRPr="001B3304">
        <w:t>Element #2: In circumstances of a Sexual Nature</w:t>
      </w:r>
      <w:bookmarkEnd w:id="88"/>
    </w:p>
    <w:p w14:paraId="01BE026F" w14:textId="77777777" w:rsidR="00D23B96" w:rsidRPr="001B3304" w:rsidRDefault="00D23B96" w:rsidP="003E1822">
      <w:pPr>
        <w:pStyle w:val="NoSpacing"/>
        <w:rPr>
          <w:szCs w:val="24"/>
        </w:rPr>
      </w:pPr>
    </w:p>
    <w:p w14:paraId="19132CB6" w14:textId="43DFF4C5" w:rsidR="003F5E90" w:rsidRPr="001B3304" w:rsidRDefault="003F5E90" w:rsidP="003E1822">
      <w:pPr>
        <w:pStyle w:val="NoSpacing"/>
        <w:rPr>
          <w:szCs w:val="24"/>
        </w:rPr>
      </w:pPr>
      <w:r w:rsidRPr="001B3304">
        <w:rPr>
          <w:szCs w:val="24"/>
        </w:rPr>
        <w:t xml:space="preserve">While the offences of sexual interference and sexual exploitation require that the touching be subjectively done for a sexual purpose, the offence of sexual assault only requires that the touching be </w:t>
      </w:r>
      <w:r w:rsidR="009E3AD0" w:rsidRPr="001B3304">
        <w:rPr>
          <w:szCs w:val="24"/>
        </w:rPr>
        <w:t>in circumstances of</w:t>
      </w:r>
      <w:r w:rsidRPr="001B3304">
        <w:rPr>
          <w:szCs w:val="24"/>
        </w:rPr>
        <w:t xml:space="preserve"> a sexual nature</w:t>
      </w:r>
      <w:r w:rsidR="009E3AD0" w:rsidRPr="001B3304">
        <w:rPr>
          <w:szCs w:val="24"/>
        </w:rPr>
        <w:t xml:space="preserve">. This is determined by examining the circumstances surrounding the conduct to determine whether, objectively, it was of a sexual nature and violated the sexual integrity of the complainant: </w:t>
      </w:r>
      <w:r w:rsidR="009E3AD0" w:rsidRPr="001B3304">
        <w:rPr>
          <w:i/>
          <w:iCs/>
          <w:szCs w:val="24"/>
        </w:rPr>
        <w:t xml:space="preserve">R v </w:t>
      </w:r>
      <w:proofErr w:type="spellStart"/>
      <w:r w:rsidR="009E3AD0" w:rsidRPr="001B3304">
        <w:rPr>
          <w:i/>
          <w:iCs/>
          <w:szCs w:val="24"/>
        </w:rPr>
        <w:t>Trachy</w:t>
      </w:r>
      <w:proofErr w:type="spellEnd"/>
      <w:r w:rsidR="009E3AD0" w:rsidRPr="001B3304">
        <w:rPr>
          <w:i/>
          <w:iCs/>
          <w:szCs w:val="24"/>
        </w:rPr>
        <w:t xml:space="preserve">, </w:t>
      </w:r>
      <w:hyperlink r:id="rId131" w:history="1">
        <w:r w:rsidR="009E3AD0" w:rsidRPr="001B3304">
          <w:rPr>
            <w:rStyle w:val="Hyperlink"/>
            <w:szCs w:val="24"/>
          </w:rPr>
          <w:t>2019 ONCA 622</w:t>
        </w:r>
      </w:hyperlink>
      <w:r w:rsidR="009E3AD0" w:rsidRPr="001B3304">
        <w:rPr>
          <w:szCs w:val="24"/>
        </w:rPr>
        <w:t>, at paras 70-85</w:t>
      </w:r>
      <w:r w:rsidR="007551FC" w:rsidRPr="001B3304">
        <w:rPr>
          <w:szCs w:val="24"/>
        </w:rPr>
        <w:t xml:space="preserve">; see also </w:t>
      </w:r>
      <w:r w:rsidR="007551FC" w:rsidRPr="001B3304">
        <w:rPr>
          <w:i/>
          <w:iCs/>
          <w:szCs w:val="24"/>
        </w:rPr>
        <w:t xml:space="preserve">R v BJT, </w:t>
      </w:r>
      <w:hyperlink r:id="rId132" w:history="1">
        <w:r w:rsidR="007551FC" w:rsidRPr="001B3304">
          <w:rPr>
            <w:rStyle w:val="Hyperlink"/>
            <w:szCs w:val="24"/>
          </w:rPr>
          <w:t>2019 ONCA 694</w:t>
        </w:r>
      </w:hyperlink>
    </w:p>
    <w:p w14:paraId="539F197F" w14:textId="19A20F7B" w:rsidR="008714A6" w:rsidRPr="001B3304" w:rsidRDefault="008714A6" w:rsidP="003E1822">
      <w:pPr>
        <w:pStyle w:val="NoSpacing"/>
        <w:rPr>
          <w:szCs w:val="24"/>
        </w:rPr>
      </w:pPr>
    </w:p>
    <w:p w14:paraId="577957A3" w14:textId="71702022" w:rsidR="008714A6" w:rsidRPr="001B3304" w:rsidRDefault="008714A6" w:rsidP="003E1822">
      <w:pPr>
        <w:pStyle w:val="NoSpacing"/>
        <w:rPr>
          <w:szCs w:val="24"/>
          <w:lang w:val="en-CA"/>
        </w:rPr>
      </w:pPr>
      <w:r w:rsidRPr="001B3304">
        <w:rPr>
          <w:szCs w:val="24"/>
          <w:lang w:val="en-CA"/>
        </w:rPr>
        <w:t xml:space="preserve">The circumstances to be considered include the part of the body touched, the nature of the contact, the situation in which the contact occurred, and any words or gestures accompanying the act, among other things. The intent or purpose of the person committing the act may also be a factor in considering whether the conduct was sexual, but it is only one factor to be considered in the analysis: </w:t>
      </w:r>
      <w:r w:rsidRPr="001B3304">
        <w:rPr>
          <w:i/>
          <w:iCs/>
          <w:szCs w:val="24"/>
          <w:lang w:val="en-CA"/>
        </w:rPr>
        <w:t xml:space="preserve">R v Farouk, </w:t>
      </w:r>
      <w:hyperlink r:id="rId133" w:history="1">
        <w:r w:rsidRPr="001B3304">
          <w:rPr>
            <w:rStyle w:val="Hyperlink"/>
            <w:szCs w:val="24"/>
            <w:lang w:val="en-CA"/>
          </w:rPr>
          <w:t>2019 ONCA 662</w:t>
        </w:r>
      </w:hyperlink>
      <w:r w:rsidRPr="001B3304">
        <w:rPr>
          <w:szCs w:val="24"/>
          <w:lang w:val="en-CA"/>
        </w:rPr>
        <w:t>, at para 33</w:t>
      </w:r>
    </w:p>
    <w:p w14:paraId="05845404" w14:textId="4097CEC2" w:rsidR="00D23B96" w:rsidRPr="001B3304" w:rsidRDefault="00D23B96" w:rsidP="003E1822">
      <w:pPr>
        <w:pStyle w:val="NoSpacing"/>
        <w:rPr>
          <w:szCs w:val="24"/>
          <w:lang w:val="en-CA"/>
        </w:rPr>
      </w:pPr>
    </w:p>
    <w:p w14:paraId="1AE3AFE3" w14:textId="77777777" w:rsidR="00D23B96" w:rsidRPr="001B3304" w:rsidRDefault="00D23B96" w:rsidP="003E1822">
      <w:pPr>
        <w:pStyle w:val="NoSpacing"/>
        <w:rPr>
          <w:szCs w:val="24"/>
          <w:lang w:val="en-CA"/>
        </w:rPr>
      </w:pPr>
    </w:p>
    <w:p w14:paraId="79389C33" w14:textId="77777777" w:rsidR="008714A6" w:rsidRPr="001B3304" w:rsidRDefault="008714A6" w:rsidP="003E1822">
      <w:pPr>
        <w:pStyle w:val="NoSpacing"/>
        <w:rPr>
          <w:szCs w:val="24"/>
        </w:rPr>
      </w:pPr>
    </w:p>
    <w:p w14:paraId="69F82D97" w14:textId="032EDE6E" w:rsidR="00F40832" w:rsidRPr="001B3304" w:rsidRDefault="00F40832" w:rsidP="004358F8">
      <w:pPr>
        <w:pStyle w:val="Heading3"/>
        <w:numPr>
          <w:ilvl w:val="0"/>
          <w:numId w:val="32"/>
        </w:numPr>
      </w:pPr>
      <w:bookmarkStart w:id="89" w:name="_Toc134294127"/>
      <w:r w:rsidRPr="001B3304">
        <w:t>Element #3: Without Consent</w:t>
      </w:r>
      <w:bookmarkEnd w:id="89"/>
    </w:p>
    <w:p w14:paraId="0F52D774" w14:textId="77777777" w:rsidR="009479EB" w:rsidRPr="001B3304" w:rsidRDefault="009479EB" w:rsidP="003E1822">
      <w:pPr>
        <w:pStyle w:val="NoSpacing"/>
        <w:rPr>
          <w:szCs w:val="24"/>
        </w:rPr>
      </w:pPr>
    </w:p>
    <w:p w14:paraId="05C89BEA" w14:textId="5EEB4909" w:rsidR="009479EB" w:rsidRPr="001B3304" w:rsidRDefault="009479EB" w:rsidP="003E1822">
      <w:pPr>
        <w:pStyle w:val="Heading4"/>
        <w:numPr>
          <w:ilvl w:val="0"/>
          <w:numId w:val="28"/>
        </w:numPr>
        <w:spacing w:line="276" w:lineRule="auto"/>
        <w:rPr>
          <w:rFonts w:cs="Arial"/>
          <w:color w:val="632423" w:themeColor="accent2" w:themeShade="80"/>
          <w:sz w:val="24"/>
          <w:szCs w:val="24"/>
          <w:lang w:val="en-CA"/>
        </w:rPr>
      </w:pPr>
      <w:r w:rsidRPr="001B3304">
        <w:rPr>
          <w:rFonts w:cs="Arial"/>
          <w:color w:val="632423" w:themeColor="accent2" w:themeShade="80"/>
          <w:sz w:val="24"/>
          <w:szCs w:val="24"/>
          <w:lang w:val="en-CA"/>
        </w:rPr>
        <w:t>General Principles</w:t>
      </w:r>
    </w:p>
    <w:p w14:paraId="035DC081" w14:textId="77777777" w:rsidR="009479EB" w:rsidRPr="001B3304" w:rsidRDefault="009479EB" w:rsidP="003E1822">
      <w:pPr>
        <w:pStyle w:val="NoSpacing"/>
        <w:rPr>
          <w:szCs w:val="24"/>
          <w:u w:val="single"/>
          <w:lang w:val="en-CA"/>
        </w:rPr>
      </w:pPr>
    </w:p>
    <w:p w14:paraId="10E25ABB" w14:textId="7707EAD3" w:rsidR="009479EB" w:rsidRPr="001B3304" w:rsidRDefault="009479EB" w:rsidP="003E1822">
      <w:pPr>
        <w:pStyle w:val="NoSpacing"/>
        <w:rPr>
          <w:szCs w:val="24"/>
          <w:lang w:val="en-CA"/>
        </w:rPr>
      </w:pPr>
      <w:r w:rsidRPr="001B3304">
        <w:rPr>
          <w:szCs w:val="24"/>
          <w:lang w:val="en-CA"/>
        </w:rPr>
        <w:t>Subsection 273.1(1) of the </w:t>
      </w:r>
      <w:r w:rsidRPr="001B3304">
        <w:rPr>
          <w:i/>
          <w:iCs/>
          <w:szCs w:val="24"/>
          <w:lang w:val="en-CA"/>
        </w:rPr>
        <w:t>Criminal Code</w:t>
      </w:r>
      <w:r w:rsidRPr="001B3304">
        <w:rPr>
          <w:szCs w:val="24"/>
          <w:lang w:val="en-CA"/>
        </w:rPr>
        <w:t xml:space="preserve"> provides that consent means the voluntary agreement of the complainant to engage in the sexual activity in question. Subsections 273.1(2)(b) and (d) provide that no consent is obtained where the complainant is incapable of consenting to the activity or where the complainant expresses by words or conduct, a lack of agreement to engage in the activity. Subsection 273.1(3) provides that nothing in s. 273.1(2) shall be construed as limiting the circumstances in which no consent is obtained.</w:t>
      </w:r>
    </w:p>
    <w:p w14:paraId="384BEC3D" w14:textId="5D5EF440" w:rsidR="009479EB" w:rsidRPr="001B3304" w:rsidRDefault="009479EB" w:rsidP="003E1822">
      <w:pPr>
        <w:pStyle w:val="NoSpacing"/>
        <w:rPr>
          <w:szCs w:val="24"/>
          <w:lang w:val="en-CA"/>
        </w:rPr>
      </w:pPr>
    </w:p>
    <w:p w14:paraId="66522ED5" w14:textId="5AC9BF53" w:rsidR="004B0B05" w:rsidRPr="001B3304" w:rsidRDefault="004B0B05" w:rsidP="004B0B05">
      <w:pPr>
        <w:pStyle w:val="NoSpacing"/>
        <w:rPr>
          <w:i/>
          <w:iCs/>
          <w:szCs w:val="24"/>
        </w:rPr>
      </w:pPr>
      <w:r w:rsidRPr="001B3304">
        <w:rPr>
          <w:szCs w:val="24"/>
        </w:rPr>
        <w:t xml:space="preserve">Consent requires “the conscious agreement of the complainant to engage in every sexual act in a particular encounter. Consent is not considered in the abstract but rather must be linked to the sexual activity in question: </w:t>
      </w:r>
      <w:r w:rsidRPr="001B3304">
        <w:rPr>
          <w:i/>
          <w:iCs/>
          <w:szCs w:val="24"/>
          <w:lang w:val="en-CA"/>
        </w:rPr>
        <w:t xml:space="preserve">R v GF and RB, </w:t>
      </w:r>
      <w:hyperlink r:id="rId134" w:history="1">
        <w:r w:rsidRPr="001B3304">
          <w:rPr>
            <w:rStyle w:val="Hyperlink"/>
            <w:szCs w:val="24"/>
            <w:lang w:val="en-CA"/>
          </w:rPr>
          <w:t>2021 SCC 20</w:t>
        </w:r>
      </w:hyperlink>
      <w:r w:rsidRPr="001B3304">
        <w:rPr>
          <w:szCs w:val="24"/>
          <w:lang w:val="en-CA"/>
        </w:rPr>
        <w:t>, at para 29</w:t>
      </w:r>
    </w:p>
    <w:p w14:paraId="1ECD1970" w14:textId="77777777" w:rsidR="004B0B05" w:rsidRPr="001B3304" w:rsidRDefault="004B0B05" w:rsidP="003E1822">
      <w:pPr>
        <w:pStyle w:val="NoSpacing"/>
        <w:rPr>
          <w:szCs w:val="24"/>
          <w:lang w:val="en-CA"/>
        </w:rPr>
      </w:pPr>
    </w:p>
    <w:p w14:paraId="6B3B9C2E" w14:textId="0D6B88E1" w:rsidR="009479EB" w:rsidRPr="001B3304" w:rsidRDefault="009479EB" w:rsidP="00BE5A86">
      <w:pPr>
        <w:pStyle w:val="NoSpacing"/>
        <w:rPr>
          <w:szCs w:val="24"/>
          <w:lang w:val="en-CA"/>
        </w:rPr>
      </w:pPr>
      <w:r w:rsidRPr="001B3304">
        <w:rPr>
          <w:szCs w:val="24"/>
          <w:lang w:val="en-CA"/>
        </w:rPr>
        <w:t>Consent means conscious and voluntary agreement as to</w:t>
      </w:r>
      <w:r w:rsidR="00C87CD9" w:rsidRPr="001B3304">
        <w:rPr>
          <w:szCs w:val="24"/>
          <w:lang w:val="en-CA"/>
        </w:rPr>
        <w:t xml:space="preserve"> (1)</w:t>
      </w:r>
      <w:r w:rsidRPr="001B3304">
        <w:rPr>
          <w:szCs w:val="24"/>
          <w:lang w:val="en-CA"/>
        </w:rPr>
        <w:t xml:space="preserve"> the touching, </w:t>
      </w:r>
      <w:r w:rsidR="00C87CD9" w:rsidRPr="001B3304">
        <w:rPr>
          <w:szCs w:val="24"/>
          <w:lang w:val="en-CA"/>
        </w:rPr>
        <w:t xml:space="preserve">(2) </w:t>
      </w:r>
      <w:r w:rsidRPr="001B3304">
        <w:rPr>
          <w:szCs w:val="24"/>
          <w:lang w:val="en-CA"/>
        </w:rPr>
        <w:t xml:space="preserve">its sexual nature and </w:t>
      </w:r>
      <w:r w:rsidR="00C87CD9" w:rsidRPr="001B3304">
        <w:rPr>
          <w:szCs w:val="24"/>
          <w:lang w:val="en-CA"/>
        </w:rPr>
        <w:t xml:space="preserve">(3) </w:t>
      </w:r>
      <w:r w:rsidRPr="001B3304">
        <w:rPr>
          <w:szCs w:val="24"/>
          <w:lang w:val="en-CA"/>
        </w:rPr>
        <w:t xml:space="preserve">the identity of the partner: </w:t>
      </w:r>
      <w:r w:rsidRPr="001B3304">
        <w:rPr>
          <w:i/>
          <w:iCs/>
          <w:szCs w:val="24"/>
          <w:lang w:val="en-CA"/>
        </w:rPr>
        <w:t xml:space="preserve">R v GF and RB, </w:t>
      </w:r>
      <w:hyperlink r:id="rId135" w:history="1">
        <w:r w:rsidRPr="001B3304">
          <w:rPr>
            <w:rStyle w:val="Hyperlink"/>
            <w:szCs w:val="24"/>
            <w:lang w:val="en-CA"/>
          </w:rPr>
          <w:t>2019 ONCA 493</w:t>
        </w:r>
      </w:hyperlink>
      <w:r w:rsidRPr="001B3304">
        <w:rPr>
          <w:szCs w:val="24"/>
          <w:lang w:val="en-CA"/>
        </w:rPr>
        <w:t>, at paras 30, 33</w:t>
      </w:r>
      <w:r w:rsidR="00BE5A86" w:rsidRPr="001B3304">
        <w:rPr>
          <w:szCs w:val="24"/>
          <w:lang w:val="en-CA"/>
        </w:rPr>
        <w:t xml:space="preserve">; </w:t>
      </w:r>
      <w:r w:rsidR="00BE5A86" w:rsidRPr="001B3304">
        <w:rPr>
          <w:i/>
          <w:iCs/>
          <w:szCs w:val="24"/>
          <w:lang w:val="en-CA"/>
        </w:rPr>
        <w:t xml:space="preserve">R v GF and RB, </w:t>
      </w:r>
      <w:hyperlink r:id="rId136" w:history="1">
        <w:r w:rsidR="00BE5A86" w:rsidRPr="001B3304">
          <w:rPr>
            <w:rStyle w:val="Hyperlink"/>
            <w:szCs w:val="24"/>
            <w:lang w:val="en-CA"/>
          </w:rPr>
          <w:t>20</w:t>
        </w:r>
        <w:r w:rsidR="007A7F64" w:rsidRPr="001B3304">
          <w:rPr>
            <w:rStyle w:val="Hyperlink"/>
            <w:szCs w:val="24"/>
            <w:lang w:val="en-CA"/>
          </w:rPr>
          <w:t>21 SCC 20</w:t>
        </w:r>
      </w:hyperlink>
      <w:r w:rsidR="007A7F64" w:rsidRPr="001B3304">
        <w:rPr>
          <w:szCs w:val="24"/>
          <w:lang w:val="en-CA"/>
        </w:rPr>
        <w:t xml:space="preserve">, at para 29 </w:t>
      </w:r>
    </w:p>
    <w:p w14:paraId="716ECDAB" w14:textId="18A78823" w:rsidR="00777315" w:rsidRPr="001B3304" w:rsidRDefault="00777315" w:rsidP="00BE5A86">
      <w:pPr>
        <w:pStyle w:val="NoSpacing"/>
        <w:rPr>
          <w:szCs w:val="24"/>
          <w:lang w:val="en-CA"/>
        </w:rPr>
      </w:pPr>
    </w:p>
    <w:p w14:paraId="38EC5A10" w14:textId="5E47F4B9" w:rsidR="009F2306" w:rsidRPr="001B3304" w:rsidRDefault="002E497A" w:rsidP="002E497A">
      <w:pPr>
        <w:pStyle w:val="NoSpacing"/>
        <w:rPr>
          <w:color w:val="0000FF"/>
          <w:szCs w:val="24"/>
          <w:u w:val="single"/>
        </w:rPr>
      </w:pPr>
      <w:r w:rsidRPr="001B3304">
        <w:rPr>
          <w:szCs w:val="24"/>
        </w:rPr>
        <w:t xml:space="preserve">Consent exist at the time the activity occurs, and it can be withdrawn at any time: </w:t>
      </w:r>
      <w:r w:rsidRPr="001B3304">
        <w:rPr>
          <w:i/>
          <w:iCs/>
          <w:szCs w:val="24"/>
        </w:rPr>
        <w:t xml:space="preserve">R v AE, </w:t>
      </w:r>
      <w:hyperlink r:id="rId137" w:history="1">
        <w:r w:rsidRPr="001B3304">
          <w:rPr>
            <w:rStyle w:val="Hyperlink"/>
            <w:szCs w:val="24"/>
          </w:rPr>
          <w:t>2022 SCC 4</w:t>
        </w:r>
      </w:hyperlink>
    </w:p>
    <w:p w14:paraId="6E1E7038" w14:textId="77777777" w:rsidR="002E497A" w:rsidRPr="001B3304" w:rsidRDefault="002E497A" w:rsidP="00BE5A86">
      <w:pPr>
        <w:pStyle w:val="NoSpacing"/>
        <w:rPr>
          <w:szCs w:val="24"/>
          <w:lang w:val="en-CA"/>
        </w:rPr>
      </w:pPr>
    </w:p>
    <w:p w14:paraId="39A5B64F" w14:textId="2AD38A6B" w:rsidR="00C87CD9" w:rsidRPr="001B3304" w:rsidRDefault="00C87CD9" w:rsidP="00BE5A86">
      <w:pPr>
        <w:pStyle w:val="NoSpacing"/>
        <w:rPr>
          <w:szCs w:val="24"/>
        </w:rPr>
      </w:pPr>
      <w:r w:rsidRPr="001B3304">
        <w:rPr>
          <w:szCs w:val="24"/>
        </w:rPr>
        <w:t>A factor that prevents subjective consent must logically be linked to what subjective consent requires. Conversely, a factor that vitiates subjective consent is not tethered to the conditions of subjective consent and must find footing and justification in broader policy considerations</w:t>
      </w:r>
      <w:r w:rsidR="005B222A" w:rsidRPr="001B3304">
        <w:rPr>
          <w:szCs w:val="24"/>
        </w:rPr>
        <w:t xml:space="preserve">: </w:t>
      </w:r>
      <w:r w:rsidR="005B222A" w:rsidRPr="001B3304">
        <w:rPr>
          <w:i/>
          <w:iCs/>
          <w:szCs w:val="24"/>
        </w:rPr>
        <w:t xml:space="preserve">R v GF and RB, </w:t>
      </w:r>
      <w:hyperlink r:id="rId138" w:history="1">
        <w:r w:rsidR="005B222A" w:rsidRPr="001B3304">
          <w:rPr>
            <w:rStyle w:val="Hyperlink"/>
            <w:szCs w:val="24"/>
          </w:rPr>
          <w:t>2021 SCC 20</w:t>
        </w:r>
      </w:hyperlink>
      <w:r w:rsidR="005B222A" w:rsidRPr="001B3304">
        <w:rPr>
          <w:szCs w:val="24"/>
        </w:rPr>
        <w:t>, at para 36</w:t>
      </w:r>
    </w:p>
    <w:p w14:paraId="0A79CB6C" w14:textId="77777777" w:rsidR="009F2306" w:rsidRPr="001B3304" w:rsidRDefault="009F2306" w:rsidP="00BE5A86">
      <w:pPr>
        <w:pStyle w:val="NoSpacing"/>
        <w:rPr>
          <w:szCs w:val="24"/>
        </w:rPr>
      </w:pPr>
    </w:p>
    <w:p w14:paraId="2DBAC51D" w14:textId="4ACCC8DC" w:rsidR="009F2306" w:rsidRPr="001B3304" w:rsidRDefault="009F2306" w:rsidP="00BE5A86">
      <w:pPr>
        <w:pStyle w:val="NoSpacing"/>
        <w:rPr>
          <w:color w:val="000000"/>
          <w:szCs w:val="24"/>
        </w:rPr>
      </w:pPr>
      <w:r w:rsidRPr="001B3304">
        <w:rPr>
          <w:szCs w:val="24"/>
        </w:rPr>
        <w:t xml:space="preserve">Consent to the “sexual activity in question” extends to the requirement of condom use. A complainant who does not consent to sex without a condom does not consent to sex. </w:t>
      </w:r>
      <w:r w:rsidRPr="001B3304">
        <w:rPr>
          <w:color w:val="000000"/>
          <w:szCs w:val="24"/>
        </w:rPr>
        <w:t xml:space="preserve">Voluntary agreement to sex with a condom cannot be taken to imply consent to sex without one as consent cannot be implied from the circumstances or the relationship between the accused and the complainant: </w:t>
      </w:r>
      <w:r w:rsidRPr="001B3304">
        <w:rPr>
          <w:i/>
          <w:iCs/>
          <w:szCs w:val="24"/>
        </w:rPr>
        <w:t xml:space="preserve">R v Kirkpatrick, </w:t>
      </w:r>
      <w:hyperlink r:id="rId139" w:history="1">
        <w:r w:rsidRPr="001B3304">
          <w:rPr>
            <w:rStyle w:val="Hyperlink"/>
            <w:szCs w:val="24"/>
          </w:rPr>
          <w:t>2022 SCC 33</w:t>
        </w:r>
      </w:hyperlink>
    </w:p>
    <w:p w14:paraId="42499DA7" w14:textId="77777777" w:rsidR="009F2306" w:rsidRPr="001B3304" w:rsidRDefault="009F2306" w:rsidP="00BE5A86">
      <w:pPr>
        <w:pStyle w:val="NoSpacing"/>
        <w:rPr>
          <w:color w:val="000000"/>
          <w:szCs w:val="24"/>
        </w:rPr>
      </w:pPr>
    </w:p>
    <w:p w14:paraId="5E764E05" w14:textId="77777777" w:rsidR="00BE4E1B" w:rsidRPr="001B3304" w:rsidRDefault="009F2306" w:rsidP="00BE5A86">
      <w:pPr>
        <w:pStyle w:val="NoSpacing"/>
        <w:rPr>
          <w:szCs w:val="24"/>
        </w:rPr>
      </w:pPr>
      <w:r w:rsidRPr="001B3304">
        <w:rPr>
          <w:szCs w:val="24"/>
        </w:rPr>
        <w:t xml:space="preserve">In cases of condom sabotage and deceit, the analysis proceeds under the vitiation of consent provisions. The complainant would be found to have consented to the sex (with a condom) but her consent would have been vitiated by fraud. </w:t>
      </w:r>
    </w:p>
    <w:p w14:paraId="5AF93AA5" w14:textId="75431CDC" w:rsidR="00BE4E1B" w:rsidRPr="001B3304" w:rsidRDefault="00BE4E1B" w:rsidP="00BE4E1B">
      <w:pPr>
        <w:pStyle w:val="sccnormaldoublespacing"/>
        <w:spacing w:before="0" w:beforeAutospacing="0" w:after="480" w:afterAutospacing="0" w:line="480" w:lineRule="atLeast"/>
        <w:jc w:val="both"/>
        <w:rPr>
          <w:rFonts w:ascii="Arial" w:hAnsi="Arial" w:cs="Arial"/>
          <w:color w:val="000000"/>
        </w:rPr>
      </w:pPr>
      <w:r w:rsidRPr="001B3304">
        <w:rPr>
          <w:rFonts w:ascii="Arial" w:hAnsi="Arial" w:cs="Arial"/>
          <w:color w:val="000000"/>
        </w:rPr>
        <w:t xml:space="preserve">This applies where the complainant finds out after the sexual act that the accused was wearing a knowingly sabotaged condom. </w:t>
      </w:r>
    </w:p>
    <w:p w14:paraId="264BB91D" w14:textId="77777777" w:rsidR="00BE4E1B" w:rsidRPr="001B3304" w:rsidRDefault="00BE4E1B" w:rsidP="00BE4E1B">
      <w:pPr>
        <w:rPr>
          <w:rFonts w:ascii="Arial" w:hAnsi="Arial" w:cs="Arial"/>
        </w:rPr>
      </w:pPr>
    </w:p>
    <w:p w14:paraId="0BBA5D17" w14:textId="77777777" w:rsidR="00BE4E1B" w:rsidRPr="001B3304" w:rsidRDefault="00BE4E1B" w:rsidP="00BE5A86">
      <w:pPr>
        <w:pStyle w:val="NoSpacing"/>
        <w:rPr>
          <w:szCs w:val="24"/>
        </w:rPr>
      </w:pPr>
    </w:p>
    <w:p w14:paraId="55FCA872" w14:textId="23216BBF" w:rsidR="009F2306" w:rsidRPr="001B3304" w:rsidRDefault="009F2306" w:rsidP="00BE5A86">
      <w:pPr>
        <w:pStyle w:val="NoSpacing"/>
        <w:rPr>
          <w:szCs w:val="24"/>
        </w:rPr>
      </w:pPr>
      <w:r w:rsidRPr="001B3304">
        <w:rPr>
          <w:color w:val="000000"/>
          <w:szCs w:val="24"/>
        </w:rPr>
        <w:t>Instead of asking whether the complainant subjectively wanted the touching to take place, fraud shifts the focus to how the accused behaved and asks whether he attempted to, or succeeded in, deceiving the complainant about his lack of condom use</w:t>
      </w:r>
      <w:r w:rsidR="00BE4E1B" w:rsidRPr="001B3304">
        <w:rPr>
          <w:color w:val="000000"/>
          <w:szCs w:val="24"/>
        </w:rPr>
        <w:t>. If, however, the complainant finds out during the sexual act that the condom was sabotaged, then they can revoke their subjective consent, the </w:t>
      </w:r>
      <w:r w:rsidR="00BE4E1B" w:rsidRPr="001B3304">
        <w:rPr>
          <w:i/>
          <w:iCs/>
          <w:color w:val="000000"/>
          <w:szCs w:val="24"/>
        </w:rPr>
        <w:t>actus reus</w:t>
      </w:r>
      <w:r w:rsidR="00BE4E1B" w:rsidRPr="001B3304">
        <w:rPr>
          <w:color w:val="000000"/>
          <w:szCs w:val="24"/>
        </w:rPr>
        <w:t xml:space="preserve"> of sexual assault is made out, and there is no need to consider the fraud analysis: </w:t>
      </w:r>
      <w:r w:rsidRPr="001B3304">
        <w:rPr>
          <w:i/>
          <w:iCs/>
          <w:szCs w:val="24"/>
        </w:rPr>
        <w:t xml:space="preserve">R v Kirkpatrick, </w:t>
      </w:r>
      <w:hyperlink r:id="rId140" w:history="1">
        <w:r w:rsidRPr="001B3304">
          <w:rPr>
            <w:rStyle w:val="Hyperlink"/>
            <w:szCs w:val="24"/>
          </w:rPr>
          <w:t>2022 SCC 33</w:t>
        </w:r>
      </w:hyperlink>
    </w:p>
    <w:p w14:paraId="509F1BFB" w14:textId="77777777" w:rsidR="009F2306" w:rsidRPr="001B3304" w:rsidRDefault="009F2306" w:rsidP="00BE5A86">
      <w:pPr>
        <w:pStyle w:val="NoSpacing"/>
        <w:rPr>
          <w:szCs w:val="24"/>
        </w:rPr>
      </w:pPr>
    </w:p>
    <w:p w14:paraId="642CF73C" w14:textId="35ECF9EA" w:rsidR="009F2306" w:rsidRPr="001B3304" w:rsidRDefault="009F2306" w:rsidP="00BE5A86">
      <w:pPr>
        <w:pStyle w:val="NoSpacing"/>
        <w:rPr>
          <w:szCs w:val="24"/>
        </w:rPr>
      </w:pPr>
      <w:r w:rsidRPr="001B3304">
        <w:rPr>
          <w:color w:val="000000"/>
          <w:szCs w:val="24"/>
        </w:rPr>
        <w:t xml:space="preserve">The legal meaning given to the “sexual activity in question” cannot be narrowly drawn or fixed for all cases — it is tied to context and cannot be assessed in the abstract, relates to particular </w:t>
      </w:r>
      <w:proofErr w:type="spellStart"/>
      <w:r w:rsidRPr="001B3304">
        <w:rPr>
          <w:color w:val="000000"/>
          <w:szCs w:val="24"/>
        </w:rPr>
        <w:t>behaviours</w:t>
      </w:r>
      <w:proofErr w:type="spellEnd"/>
      <w:r w:rsidRPr="001B3304">
        <w:rPr>
          <w:color w:val="000000"/>
          <w:szCs w:val="24"/>
        </w:rPr>
        <w:t xml:space="preserve"> and actions, and will depend on the facts and circumstances of the individual case. It will be defined by the evidence and the complainant’s allegations, and will emerge from a comparison of what actually happened and what, if anything, was agreed to: </w:t>
      </w:r>
      <w:r w:rsidRPr="001B3304">
        <w:rPr>
          <w:i/>
          <w:iCs/>
          <w:szCs w:val="24"/>
        </w:rPr>
        <w:t xml:space="preserve">R v Kirkpatrick, </w:t>
      </w:r>
      <w:hyperlink r:id="rId141" w:history="1">
        <w:r w:rsidRPr="001B3304">
          <w:rPr>
            <w:rStyle w:val="Hyperlink"/>
            <w:szCs w:val="24"/>
          </w:rPr>
          <w:t>2022 SCC 33</w:t>
        </w:r>
      </w:hyperlink>
    </w:p>
    <w:p w14:paraId="481797FB" w14:textId="4C2E62A8" w:rsidR="009479EB" w:rsidRPr="001B3304" w:rsidRDefault="009479EB" w:rsidP="003E1822">
      <w:pPr>
        <w:pStyle w:val="NoSpacing"/>
        <w:rPr>
          <w:szCs w:val="24"/>
          <w:lang w:val="en-CA"/>
        </w:rPr>
      </w:pPr>
    </w:p>
    <w:p w14:paraId="4A4B3550" w14:textId="72DA94E3" w:rsidR="009479EB" w:rsidRPr="001B3304" w:rsidRDefault="009479EB" w:rsidP="003E1822">
      <w:pPr>
        <w:pStyle w:val="NoSpacing"/>
        <w:rPr>
          <w:szCs w:val="24"/>
        </w:rPr>
      </w:pPr>
      <w:r w:rsidRPr="001B3304">
        <w:rPr>
          <w:szCs w:val="24"/>
        </w:rPr>
        <w:t xml:space="preserve">A complainant’s belief that she must submit does not amount to the “voluntary agreement” required by s. 273.1(1): </w:t>
      </w:r>
      <w:r w:rsidR="00BE5A86" w:rsidRPr="001B3304">
        <w:rPr>
          <w:i/>
          <w:iCs/>
          <w:szCs w:val="24"/>
        </w:rPr>
        <w:t xml:space="preserve">R v </w:t>
      </w:r>
      <w:r w:rsidRPr="001B3304">
        <w:rPr>
          <w:i/>
          <w:szCs w:val="24"/>
        </w:rPr>
        <w:t>HE</w:t>
      </w:r>
      <w:r w:rsidR="00BE5A86" w:rsidRPr="001B3304">
        <w:rPr>
          <w:i/>
          <w:szCs w:val="24"/>
        </w:rPr>
        <w:t xml:space="preserve">, </w:t>
      </w:r>
      <w:r w:rsidR="00BE5A86" w:rsidRPr="001B3304">
        <w:rPr>
          <w:iCs/>
          <w:szCs w:val="24"/>
        </w:rPr>
        <w:t>2018 ONCA 879,</w:t>
      </w:r>
      <w:r w:rsidRPr="001B3304">
        <w:rPr>
          <w:i/>
          <w:szCs w:val="24"/>
        </w:rPr>
        <w:t xml:space="preserve"> </w:t>
      </w:r>
      <w:r w:rsidRPr="001B3304">
        <w:rPr>
          <w:szCs w:val="24"/>
        </w:rPr>
        <w:t>at para 3</w:t>
      </w:r>
    </w:p>
    <w:p w14:paraId="5A5A015E" w14:textId="49F365A3" w:rsidR="009479EB" w:rsidRPr="001B3304" w:rsidRDefault="009479EB" w:rsidP="003E1822">
      <w:pPr>
        <w:pStyle w:val="NoSpacing"/>
        <w:rPr>
          <w:szCs w:val="24"/>
        </w:rPr>
      </w:pPr>
    </w:p>
    <w:p w14:paraId="198F0D09" w14:textId="51417D74" w:rsidR="009479EB" w:rsidRPr="001B3304" w:rsidRDefault="009479EB" w:rsidP="003E1822">
      <w:pPr>
        <w:pStyle w:val="NoSpacing"/>
        <w:rPr>
          <w:szCs w:val="24"/>
          <w:lang w:val="en"/>
        </w:rPr>
      </w:pPr>
      <w:r w:rsidRPr="001B3304">
        <w:rPr>
          <w:szCs w:val="24"/>
          <w:lang w:val="en"/>
        </w:rPr>
        <w:t xml:space="preserve">The absence of consent is subjective and determined by reference to the complainant’s subjective internal state of mind towards the touching at the time it occurred: </w:t>
      </w:r>
      <w:r w:rsidRPr="001B3304">
        <w:rPr>
          <w:i/>
          <w:iCs/>
          <w:szCs w:val="24"/>
          <w:lang w:val="en-CA"/>
        </w:rPr>
        <w:t xml:space="preserve">R v GF and RB, </w:t>
      </w:r>
      <w:hyperlink r:id="rId142" w:history="1">
        <w:r w:rsidRPr="001B3304">
          <w:rPr>
            <w:rStyle w:val="Hyperlink"/>
            <w:szCs w:val="24"/>
            <w:lang w:val="en-CA"/>
          </w:rPr>
          <w:t>2019 ONCA 493</w:t>
        </w:r>
      </w:hyperlink>
      <w:r w:rsidRPr="001B3304">
        <w:rPr>
          <w:szCs w:val="24"/>
          <w:lang w:val="en-CA"/>
        </w:rPr>
        <w:t xml:space="preserve">, at para </w:t>
      </w:r>
      <w:r w:rsidRPr="001B3304">
        <w:rPr>
          <w:szCs w:val="24"/>
          <w:lang w:val="en"/>
        </w:rPr>
        <w:t>43</w:t>
      </w:r>
    </w:p>
    <w:p w14:paraId="5876A01C" w14:textId="59E92B43" w:rsidR="009479EB" w:rsidRPr="001B3304" w:rsidRDefault="009479EB" w:rsidP="003E1822">
      <w:pPr>
        <w:pStyle w:val="NoSpacing"/>
        <w:rPr>
          <w:szCs w:val="24"/>
          <w:lang w:val="en"/>
        </w:rPr>
      </w:pPr>
    </w:p>
    <w:p w14:paraId="29E32F53" w14:textId="2E0AC8BA" w:rsidR="009479EB" w:rsidRPr="001B3304" w:rsidRDefault="009479EB" w:rsidP="003E1822">
      <w:pPr>
        <w:pStyle w:val="NoSpacing"/>
        <w:rPr>
          <w:szCs w:val="24"/>
          <w:lang w:val="en-CA"/>
        </w:rPr>
      </w:pPr>
      <w:r w:rsidRPr="001B3304">
        <w:rPr>
          <w:szCs w:val="24"/>
        </w:rPr>
        <w:t>The Crown need not prove that the complainant made a conscious decision to refuse sexual contact, for which an operating mind might be required. Rather, the Crown is required to prove the absence of consent by reference to the complainant’s subjective internal state of mind:</w:t>
      </w:r>
      <w:r w:rsidRPr="001B3304">
        <w:rPr>
          <w:i/>
          <w:iCs/>
          <w:szCs w:val="24"/>
          <w:lang w:val="en-CA"/>
        </w:rPr>
        <w:t xml:space="preserve"> R v GF and RB, </w:t>
      </w:r>
      <w:hyperlink r:id="rId143" w:history="1">
        <w:r w:rsidRPr="001B3304">
          <w:rPr>
            <w:rStyle w:val="Hyperlink"/>
            <w:szCs w:val="24"/>
            <w:lang w:val="en-CA"/>
          </w:rPr>
          <w:t>2019 ONCA 493</w:t>
        </w:r>
      </w:hyperlink>
      <w:r w:rsidRPr="001B3304">
        <w:rPr>
          <w:szCs w:val="24"/>
          <w:lang w:val="en-CA"/>
        </w:rPr>
        <w:t>, at para 48</w:t>
      </w:r>
    </w:p>
    <w:p w14:paraId="37274FC6" w14:textId="77777777" w:rsidR="00BD1783" w:rsidRPr="001B3304" w:rsidRDefault="00BD1783" w:rsidP="003E1822">
      <w:pPr>
        <w:pStyle w:val="NoSpacing"/>
        <w:rPr>
          <w:szCs w:val="24"/>
        </w:rPr>
      </w:pPr>
    </w:p>
    <w:p w14:paraId="79D7A338" w14:textId="3F582D12" w:rsidR="00BD1783" w:rsidRPr="001B3304" w:rsidRDefault="00BD1783" w:rsidP="00BD1783">
      <w:pPr>
        <w:pStyle w:val="NoSpacing"/>
        <w:rPr>
          <w:szCs w:val="24"/>
        </w:rPr>
      </w:pPr>
      <w:r w:rsidRPr="001B3304">
        <w:rPr>
          <w:szCs w:val="24"/>
        </w:rPr>
        <w:t xml:space="preserve">It is not an error of law to instruct the jury that the charge of sexual assault required that the Crown prove that the accuse knew of, or was </w:t>
      </w:r>
      <w:proofErr w:type="spellStart"/>
      <w:r w:rsidRPr="001B3304">
        <w:rPr>
          <w:szCs w:val="24"/>
        </w:rPr>
        <w:t>wilfully</w:t>
      </w:r>
      <w:proofErr w:type="spellEnd"/>
      <w:r w:rsidRPr="001B3304">
        <w:rPr>
          <w:szCs w:val="24"/>
        </w:rPr>
        <w:t xml:space="preserve"> blind or reckless as to, the complainant’s non-consent, even where the </w:t>
      </w:r>
      <w:proofErr w:type="spellStart"/>
      <w:r w:rsidRPr="001B3304">
        <w:rPr>
          <w:szCs w:val="24"/>
        </w:rPr>
        <w:t>defence</w:t>
      </w:r>
      <w:proofErr w:type="spellEnd"/>
      <w:r w:rsidRPr="001B3304">
        <w:rPr>
          <w:szCs w:val="24"/>
        </w:rPr>
        <w:t xml:space="preserve"> of honest but mistaken belief in communicated consent is. The unavailability of the </w:t>
      </w:r>
      <w:proofErr w:type="spellStart"/>
      <w:r w:rsidRPr="001B3304">
        <w:rPr>
          <w:szCs w:val="24"/>
        </w:rPr>
        <w:t>defence</w:t>
      </w:r>
      <w:proofErr w:type="spellEnd"/>
      <w:r w:rsidRPr="001B3304">
        <w:rPr>
          <w:szCs w:val="24"/>
        </w:rPr>
        <w:t xml:space="preserve"> does not equates with proof by the Crown of the knowledge element: </w:t>
      </w:r>
      <w:r w:rsidRPr="001B3304">
        <w:rPr>
          <w:i/>
          <w:iCs/>
          <w:szCs w:val="24"/>
        </w:rPr>
        <w:t xml:space="preserve">R v HW, </w:t>
      </w:r>
      <w:hyperlink r:id="rId144" w:history="1">
        <w:r w:rsidRPr="001B3304">
          <w:rPr>
            <w:rStyle w:val="Hyperlink"/>
            <w:szCs w:val="24"/>
          </w:rPr>
          <w:t>2022 ONCA 15;</w:t>
        </w:r>
      </w:hyperlink>
      <w:r w:rsidRPr="001B3304">
        <w:rPr>
          <w:szCs w:val="24"/>
        </w:rPr>
        <w:t xml:space="preserve"> see, for example, paras 76-78</w:t>
      </w:r>
    </w:p>
    <w:p w14:paraId="609D8A3C" w14:textId="77777777" w:rsidR="00BD1783" w:rsidRPr="001B3304" w:rsidRDefault="00BD1783" w:rsidP="00BD1783">
      <w:pPr>
        <w:rPr>
          <w:rFonts w:ascii="Arial" w:hAnsi="Arial" w:cs="Arial"/>
        </w:rPr>
      </w:pPr>
    </w:p>
    <w:p w14:paraId="2A8BA525" w14:textId="77777777" w:rsidR="009479EB" w:rsidRPr="001B3304" w:rsidRDefault="009479EB" w:rsidP="003E1822">
      <w:pPr>
        <w:pStyle w:val="NoSpacing"/>
        <w:rPr>
          <w:szCs w:val="24"/>
          <w:lang w:val="en-CA"/>
        </w:rPr>
      </w:pPr>
    </w:p>
    <w:p w14:paraId="3C300D35" w14:textId="3EAECD5C" w:rsidR="009479EB" w:rsidRPr="001B3304" w:rsidRDefault="009479EB" w:rsidP="003E1822">
      <w:pPr>
        <w:pStyle w:val="NoSpacing"/>
        <w:rPr>
          <w:szCs w:val="24"/>
        </w:rPr>
      </w:pPr>
    </w:p>
    <w:p w14:paraId="53091A9D" w14:textId="0031C1CD" w:rsidR="009479EB" w:rsidRPr="001B3304" w:rsidRDefault="009479EB" w:rsidP="003E1822">
      <w:pPr>
        <w:pStyle w:val="Heading4"/>
        <w:spacing w:line="276" w:lineRule="auto"/>
        <w:rPr>
          <w:rFonts w:cs="Arial"/>
          <w:color w:val="632423" w:themeColor="accent2" w:themeShade="80"/>
          <w:sz w:val="24"/>
          <w:szCs w:val="24"/>
        </w:rPr>
      </w:pPr>
      <w:r w:rsidRPr="001B3304">
        <w:rPr>
          <w:rFonts w:cs="Arial"/>
          <w:color w:val="632423" w:themeColor="accent2" w:themeShade="80"/>
          <w:sz w:val="24"/>
          <w:szCs w:val="24"/>
        </w:rPr>
        <w:t>Capacity to Consent</w:t>
      </w:r>
    </w:p>
    <w:p w14:paraId="0FE48342" w14:textId="77777777" w:rsidR="009479EB" w:rsidRPr="001B3304" w:rsidRDefault="009479EB" w:rsidP="003E1822">
      <w:pPr>
        <w:pStyle w:val="NoSpacing"/>
        <w:rPr>
          <w:szCs w:val="24"/>
          <w:u w:val="single"/>
        </w:rPr>
      </w:pPr>
    </w:p>
    <w:p w14:paraId="2B9F6C4A" w14:textId="54941B1A" w:rsidR="009479EB" w:rsidRPr="001B3304" w:rsidRDefault="009479EB" w:rsidP="003E1822">
      <w:pPr>
        <w:pStyle w:val="NoSpacing"/>
        <w:rPr>
          <w:szCs w:val="24"/>
        </w:rPr>
      </w:pPr>
      <w:r w:rsidRPr="001B3304">
        <w:rPr>
          <w:szCs w:val="24"/>
        </w:rPr>
        <w:t xml:space="preserve">Issues of incapacity can arise in a multitude of circumstances, including sleep, intoxication, illness, and intellectual disability. </w:t>
      </w:r>
      <w:r w:rsidRPr="001B3304">
        <w:rPr>
          <w:szCs w:val="24"/>
          <w:lang w:val="en-CA"/>
        </w:rPr>
        <w:t xml:space="preserve">Varying degrees of awareness, memory, and ability to articulate what happened have supported findings of incapacity: </w:t>
      </w:r>
      <w:r w:rsidRPr="001B3304">
        <w:rPr>
          <w:i/>
          <w:iCs/>
          <w:szCs w:val="24"/>
          <w:lang w:val="en-CA"/>
        </w:rPr>
        <w:t xml:space="preserve">R v GF and RB, </w:t>
      </w:r>
      <w:hyperlink r:id="rId145" w:history="1">
        <w:r w:rsidRPr="001B3304">
          <w:rPr>
            <w:rStyle w:val="Hyperlink"/>
            <w:szCs w:val="24"/>
            <w:lang w:val="en-CA"/>
          </w:rPr>
          <w:t>2019 ONCA 493</w:t>
        </w:r>
      </w:hyperlink>
      <w:r w:rsidRPr="001B3304">
        <w:rPr>
          <w:szCs w:val="24"/>
          <w:lang w:val="en-CA"/>
        </w:rPr>
        <w:t>, at para 26</w:t>
      </w:r>
    </w:p>
    <w:p w14:paraId="18D2AFB9" w14:textId="77777777" w:rsidR="009479EB" w:rsidRPr="001B3304" w:rsidRDefault="009479EB" w:rsidP="003E1822">
      <w:pPr>
        <w:pStyle w:val="NoSpacing"/>
        <w:rPr>
          <w:rFonts w:eastAsia="Times New Roman"/>
          <w:color w:val="000000"/>
          <w:szCs w:val="24"/>
          <w:lang w:val="en-CA"/>
        </w:rPr>
      </w:pPr>
    </w:p>
    <w:p w14:paraId="7A7A4A73" w14:textId="29576537" w:rsidR="009479EB" w:rsidRPr="001B3304" w:rsidRDefault="009479EB" w:rsidP="003E1822">
      <w:pPr>
        <w:pStyle w:val="NoSpacing"/>
        <w:rPr>
          <w:szCs w:val="24"/>
          <w:lang w:val="en-CA"/>
        </w:rPr>
      </w:pPr>
      <w:r w:rsidRPr="001B3304">
        <w:rPr>
          <w:szCs w:val="24"/>
          <w:lang w:val="en"/>
        </w:rPr>
        <w:t>A complainant lacks the requisite capacity to consent if the Crown establishes beyond a reasonable doubt that, for whatever reason, the complainant did not have an operating mind capable of:</w:t>
      </w:r>
    </w:p>
    <w:p w14:paraId="40871045" w14:textId="77777777" w:rsidR="009479EB" w:rsidRPr="001B3304" w:rsidRDefault="009479EB" w:rsidP="003E1822">
      <w:pPr>
        <w:pStyle w:val="NoSpacing"/>
        <w:ind w:left="720"/>
        <w:rPr>
          <w:szCs w:val="24"/>
          <w:lang w:val="en-CA"/>
        </w:rPr>
      </w:pPr>
      <w:r w:rsidRPr="001B3304">
        <w:rPr>
          <w:szCs w:val="24"/>
          <w:lang w:val="en"/>
        </w:rPr>
        <w:t>1. appreciating the nature and quality of the sexual activity; or</w:t>
      </w:r>
    </w:p>
    <w:p w14:paraId="1887EF86" w14:textId="77777777" w:rsidR="009479EB" w:rsidRPr="001B3304" w:rsidRDefault="009479EB" w:rsidP="003E1822">
      <w:pPr>
        <w:pStyle w:val="NoSpacing"/>
        <w:ind w:left="720"/>
        <w:rPr>
          <w:szCs w:val="24"/>
          <w:lang w:val="en-CA"/>
        </w:rPr>
      </w:pPr>
      <w:r w:rsidRPr="001B3304">
        <w:rPr>
          <w:szCs w:val="24"/>
          <w:lang w:val="en"/>
        </w:rPr>
        <w:t>2. knowing the identity of the person or persons wishing to engage in the sexual activity; or</w:t>
      </w:r>
    </w:p>
    <w:p w14:paraId="348D1995" w14:textId="39FCEB88" w:rsidR="009479EB" w:rsidRPr="001B3304" w:rsidRDefault="009479EB" w:rsidP="003E1822">
      <w:pPr>
        <w:pStyle w:val="NoSpacing"/>
        <w:ind w:left="720"/>
        <w:rPr>
          <w:szCs w:val="24"/>
          <w:lang w:val="en-CA"/>
        </w:rPr>
      </w:pPr>
      <w:r w:rsidRPr="001B3304">
        <w:rPr>
          <w:szCs w:val="24"/>
          <w:lang w:val="en"/>
        </w:rPr>
        <w:t xml:space="preserve">3. understanding she could agree or decline to engage in, or to continue, the sexual activity: </w:t>
      </w:r>
    </w:p>
    <w:p w14:paraId="7885D102" w14:textId="77777777" w:rsidR="009479EB" w:rsidRPr="001B3304" w:rsidRDefault="009479EB" w:rsidP="003E1822">
      <w:pPr>
        <w:pStyle w:val="NoSpacing"/>
        <w:rPr>
          <w:szCs w:val="24"/>
          <w:lang w:val="en-CA"/>
        </w:rPr>
      </w:pPr>
    </w:p>
    <w:p w14:paraId="34D97652" w14:textId="5B952E67" w:rsidR="009479EB" w:rsidRPr="001B3304" w:rsidRDefault="009479EB" w:rsidP="003E1822">
      <w:pPr>
        <w:pStyle w:val="NoSpacing"/>
        <w:rPr>
          <w:szCs w:val="24"/>
          <w:lang w:val="en-CA"/>
        </w:rPr>
      </w:pPr>
      <w:r w:rsidRPr="001B3304">
        <w:rPr>
          <w:szCs w:val="24"/>
          <w:lang w:val="en-CA"/>
        </w:rPr>
        <w:lastRenderedPageBreak/>
        <w:t xml:space="preserve">While mere proof of drunkenness, loss of inhibitions, regret for a bad decision or some memory loss do not of themselves negate capacity for consent, some physical actions such as walking a short distance, making a phone call, speaking, some memory of the events, and some awareness of or resistance to sexual activity do not necessarily preclude a finding of incapacity: </w:t>
      </w:r>
      <w:r w:rsidRPr="001B3304">
        <w:rPr>
          <w:i/>
          <w:iCs/>
          <w:szCs w:val="24"/>
          <w:lang w:val="en-CA"/>
        </w:rPr>
        <w:t xml:space="preserve">R v GF and RB, </w:t>
      </w:r>
      <w:hyperlink r:id="rId146" w:history="1">
        <w:r w:rsidRPr="001B3304">
          <w:rPr>
            <w:rStyle w:val="Hyperlink"/>
            <w:szCs w:val="24"/>
            <w:lang w:val="en-CA"/>
          </w:rPr>
          <w:t>2019 ONCA 493</w:t>
        </w:r>
      </w:hyperlink>
      <w:r w:rsidRPr="001B3304">
        <w:rPr>
          <w:szCs w:val="24"/>
          <w:lang w:val="en-CA"/>
        </w:rPr>
        <w:t>, at paras 36-38</w:t>
      </w:r>
    </w:p>
    <w:p w14:paraId="45664FF2" w14:textId="05221178" w:rsidR="009479EB" w:rsidRPr="001B3304" w:rsidRDefault="009479EB" w:rsidP="005B222A">
      <w:pPr>
        <w:pStyle w:val="NoSpacing"/>
        <w:rPr>
          <w:szCs w:val="24"/>
          <w:lang w:val="en-CA"/>
        </w:rPr>
      </w:pPr>
    </w:p>
    <w:p w14:paraId="157A565E" w14:textId="2BDF4EEA" w:rsidR="009479EB" w:rsidRPr="001B3304" w:rsidRDefault="009479EB" w:rsidP="003E1822">
      <w:pPr>
        <w:pStyle w:val="NoSpacing"/>
        <w:rPr>
          <w:szCs w:val="24"/>
        </w:rPr>
      </w:pPr>
      <w:r w:rsidRPr="001B3304">
        <w:rPr>
          <w:szCs w:val="24"/>
        </w:rPr>
        <w:t xml:space="preserve">A person who is asleep cannot consent to sexual activity: </w:t>
      </w:r>
      <w:r w:rsidRPr="001B3304">
        <w:rPr>
          <w:i/>
          <w:szCs w:val="24"/>
        </w:rPr>
        <w:t xml:space="preserve">R v Carson, </w:t>
      </w:r>
      <w:hyperlink r:id="rId147" w:history="1">
        <w:r w:rsidRPr="001B3304">
          <w:rPr>
            <w:rStyle w:val="Hyperlink"/>
            <w:szCs w:val="24"/>
          </w:rPr>
          <w:t>2018 ONCA 1002</w:t>
        </w:r>
      </w:hyperlink>
      <w:r w:rsidRPr="001B3304">
        <w:rPr>
          <w:szCs w:val="24"/>
        </w:rPr>
        <w:t>, at para</w:t>
      </w:r>
    </w:p>
    <w:p w14:paraId="204E1BA2" w14:textId="77777777" w:rsidR="009479EB" w:rsidRPr="001B3304" w:rsidRDefault="009479EB" w:rsidP="003E1822">
      <w:pPr>
        <w:spacing w:line="276" w:lineRule="auto"/>
        <w:rPr>
          <w:rFonts w:ascii="Arial" w:hAnsi="Arial" w:cs="Arial"/>
          <w:color w:val="000000"/>
        </w:rPr>
      </w:pPr>
    </w:p>
    <w:p w14:paraId="526425A0" w14:textId="4316482A" w:rsidR="00B81805" w:rsidRPr="001B3304" w:rsidRDefault="009479EB" w:rsidP="00B81805">
      <w:pPr>
        <w:pStyle w:val="NoSpacing"/>
        <w:rPr>
          <w:szCs w:val="24"/>
        </w:rPr>
      </w:pPr>
      <w:r w:rsidRPr="001B3304">
        <w:rPr>
          <w:szCs w:val="24"/>
          <w:lang w:val="en-CA"/>
        </w:rPr>
        <w:t xml:space="preserve">In determining a case involving issues of both consent and capacity to consent, a trial judge should first consider whether the Crown has proven beyond a reasonable doubt that the complainant did not </w:t>
      </w:r>
      <w:r w:rsidR="005B222A" w:rsidRPr="001B3304">
        <w:rPr>
          <w:szCs w:val="24"/>
          <w:lang w:val="en-CA"/>
        </w:rPr>
        <w:t xml:space="preserve">have the capacity to </w:t>
      </w:r>
      <w:r w:rsidRPr="001B3304">
        <w:rPr>
          <w:szCs w:val="24"/>
          <w:lang w:val="en-CA"/>
        </w:rPr>
        <w:t>consent to sexual contact.</w:t>
      </w:r>
      <w:r w:rsidR="005B222A" w:rsidRPr="001B3304">
        <w:rPr>
          <w:szCs w:val="24"/>
          <w:lang w:val="en-CA"/>
        </w:rPr>
        <w:t xml:space="preserve"> Capacity to consent is a precondition for subjective consent.  </w:t>
      </w:r>
      <w:r w:rsidR="00B81805" w:rsidRPr="001B3304">
        <w:rPr>
          <w:szCs w:val="24"/>
          <w:lang w:val="en-CA"/>
        </w:rPr>
        <w:t xml:space="preserve">The trial judge must then consider whether the Crown has proven beyond a reasonable doubt that the complainant did not subjectively consent: </w:t>
      </w:r>
      <w:r w:rsidR="00B81805" w:rsidRPr="001B3304">
        <w:rPr>
          <w:i/>
          <w:iCs/>
          <w:szCs w:val="24"/>
        </w:rPr>
        <w:t xml:space="preserve">R v GF and RB, </w:t>
      </w:r>
      <w:hyperlink r:id="rId148" w:history="1">
        <w:r w:rsidR="00B81805" w:rsidRPr="001B3304">
          <w:rPr>
            <w:rStyle w:val="Hyperlink"/>
            <w:szCs w:val="24"/>
          </w:rPr>
          <w:t>2021 SCC 20</w:t>
        </w:r>
      </w:hyperlink>
      <w:r w:rsidR="00B81805" w:rsidRPr="001B3304">
        <w:rPr>
          <w:szCs w:val="24"/>
        </w:rPr>
        <w:t>, at paras 46-47</w:t>
      </w:r>
    </w:p>
    <w:p w14:paraId="48DB41B5" w14:textId="1E749D6A" w:rsidR="00B81805" w:rsidRPr="001B3304" w:rsidRDefault="00B81805" w:rsidP="00B81805">
      <w:pPr>
        <w:pStyle w:val="NoSpacing"/>
        <w:rPr>
          <w:szCs w:val="24"/>
        </w:rPr>
      </w:pPr>
    </w:p>
    <w:p w14:paraId="09735001" w14:textId="39DCD251" w:rsidR="00B81805" w:rsidRPr="001B3304" w:rsidRDefault="00B81805" w:rsidP="00B81805">
      <w:pPr>
        <w:pStyle w:val="NoSpacing"/>
        <w:rPr>
          <w:szCs w:val="24"/>
        </w:rPr>
      </w:pPr>
      <w:r w:rsidRPr="001B3304">
        <w:rPr>
          <w:szCs w:val="24"/>
        </w:rPr>
        <w:t>For a complainant to be capable of providing subjective consent to sexual activity, they must be capable of understanding four things:</w:t>
      </w:r>
    </w:p>
    <w:p w14:paraId="27D0E4D2" w14:textId="4581FD9C" w:rsidR="00B81805" w:rsidRPr="001B3304" w:rsidRDefault="00B81805" w:rsidP="00B81805">
      <w:pPr>
        <w:pStyle w:val="NoSpacing"/>
        <w:numPr>
          <w:ilvl w:val="2"/>
          <w:numId w:val="20"/>
        </w:numPr>
        <w:rPr>
          <w:szCs w:val="24"/>
        </w:rPr>
      </w:pPr>
      <w:r w:rsidRPr="001B3304">
        <w:rPr>
          <w:szCs w:val="24"/>
        </w:rPr>
        <w:t>the physical act;</w:t>
      </w:r>
    </w:p>
    <w:p w14:paraId="13E71772" w14:textId="26EB1C2B" w:rsidR="00B81805" w:rsidRPr="001B3304" w:rsidRDefault="00B81805" w:rsidP="00B81805">
      <w:pPr>
        <w:pStyle w:val="NoSpacing"/>
        <w:numPr>
          <w:ilvl w:val="2"/>
          <w:numId w:val="20"/>
        </w:numPr>
        <w:rPr>
          <w:szCs w:val="24"/>
        </w:rPr>
      </w:pPr>
      <w:r w:rsidRPr="001B3304">
        <w:rPr>
          <w:szCs w:val="24"/>
        </w:rPr>
        <w:t>that the act is sexual in nature;</w:t>
      </w:r>
    </w:p>
    <w:p w14:paraId="237B2B03" w14:textId="24A476F0" w:rsidR="00B81805" w:rsidRPr="001B3304" w:rsidRDefault="00B81805" w:rsidP="00B81805">
      <w:pPr>
        <w:pStyle w:val="NoSpacing"/>
        <w:numPr>
          <w:ilvl w:val="2"/>
          <w:numId w:val="20"/>
        </w:numPr>
        <w:rPr>
          <w:szCs w:val="24"/>
        </w:rPr>
      </w:pPr>
      <w:r w:rsidRPr="001B3304">
        <w:rPr>
          <w:szCs w:val="24"/>
        </w:rPr>
        <w:t>the specific identity of the complainant’s partner or partners; and</w:t>
      </w:r>
    </w:p>
    <w:p w14:paraId="472DC737" w14:textId="0B98D921" w:rsidR="00B81805" w:rsidRPr="001B3304" w:rsidRDefault="00B81805" w:rsidP="00B81805">
      <w:pPr>
        <w:pStyle w:val="NoSpacing"/>
        <w:numPr>
          <w:ilvl w:val="2"/>
          <w:numId w:val="20"/>
        </w:numPr>
        <w:rPr>
          <w:szCs w:val="24"/>
        </w:rPr>
      </w:pPr>
      <w:r w:rsidRPr="001B3304">
        <w:rPr>
          <w:szCs w:val="24"/>
        </w:rPr>
        <w:t xml:space="preserve">that they have the choice to refuse to participate in the sexual activity: </w:t>
      </w:r>
      <w:r w:rsidRPr="001B3304">
        <w:rPr>
          <w:i/>
          <w:iCs/>
          <w:szCs w:val="24"/>
        </w:rPr>
        <w:t xml:space="preserve">R v GF and RB, </w:t>
      </w:r>
      <w:hyperlink r:id="rId149" w:history="1">
        <w:r w:rsidRPr="001B3304">
          <w:rPr>
            <w:rStyle w:val="Hyperlink"/>
            <w:szCs w:val="24"/>
          </w:rPr>
          <w:t>2021 SCC 20</w:t>
        </w:r>
      </w:hyperlink>
      <w:r w:rsidRPr="001B3304">
        <w:rPr>
          <w:szCs w:val="24"/>
        </w:rPr>
        <w:t xml:space="preserve">, at para </w:t>
      </w:r>
      <w:r w:rsidR="002B2DF6" w:rsidRPr="001B3304">
        <w:rPr>
          <w:szCs w:val="24"/>
        </w:rPr>
        <w:t>57</w:t>
      </w:r>
    </w:p>
    <w:p w14:paraId="7AC7AB1E" w14:textId="77777777" w:rsidR="00B81805" w:rsidRPr="001B3304" w:rsidRDefault="00B81805" w:rsidP="00B81805">
      <w:pPr>
        <w:pStyle w:val="NoSpacing"/>
        <w:rPr>
          <w:szCs w:val="24"/>
        </w:rPr>
      </w:pPr>
    </w:p>
    <w:p w14:paraId="375E961A" w14:textId="67043E4B" w:rsidR="009479EB" w:rsidRPr="001B3304" w:rsidRDefault="009479EB" w:rsidP="003E1822">
      <w:pPr>
        <w:pStyle w:val="NoSpacing"/>
        <w:rPr>
          <w:szCs w:val="24"/>
          <w:lang w:val="en-CA"/>
        </w:rPr>
      </w:pPr>
    </w:p>
    <w:p w14:paraId="26455865" w14:textId="77777777" w:rsidR="009479EB" w:rsidRPr="001B3304" w:rsidRDefault="009479EB" w:rsidP="003E1822">
      <w:pPr>
        <w:pStyle w:val="NoSpacing"/>
        <w:rPr>
          <w:szCs w:val="24"/>
        </w:rPr>
      </w:pPr>
    </w:p>
    <w:p w14:paraId="3BB97676" w14:textId="30E32A5F" w:rsidR="009479EB" w:rsidRPr="001B3304" w:rsidRDefault="009479EB" w:rsidP="003E1822">
      <w:pPr>
        <w:pStyle w:val="NoSpacing"/>
        <w:rPr>
          <w:szCs w:val="24"/>
          <w:lang w:val="en-CA"/>
        </w:rPr>
      </w:pPr>
      <w:r w:rsidRPr="001B3304">
        <w:rPr>
          <w:szCs w:val="24"/>
        </w:rPr>
        <w:t xml:space="preserve">The factual circumstances of, for example, intoxication may be relevant to both whether there was subjective consent and to incapacity to consent. </w:t>
      </w:r>
      <w:r w:rsidRPr="001B3304">
        <w:rPr>
          <w:i/>
          <w:iCs/>
          <w:szCs w:val="24"/>
          <w:lang w:val="en-CA"/>
        </w:rPr>
        <w:t xml:space="preserve">R v GF and RB, </w:t>
      </w:r>
      <w:hyperlink r:id="rId150" w:history="1">
        <w:r w:rsidRPr="001B3304">
          <w:rPr>
            <w:rStyle w:val="Hyperlink"/>
            <w:szCs w:val="24"/>
            <w:lang w:val="en-CA"/>
          </w:rPr>
          <w:t>2019 ONCA 493</w:t>
        </w:r>
      </w:hyperlink>
      <w:r w:rsidRPr="001B3304">
        <w:rPr>
          <w:szCs w:val="24"/>
          <w:lang w:val="en-CA"/>
        </w:rPr>
        <w:t>, at para 49</w:t>
      </w:r>
    </w:p>
    <w:p w14:paraId="15DD3D4E" w14:textId="77777777" w:rsidR="00D23B96" w:rsidRPr="001B3304" w:rsidRDefault="00D23B96" w:rsidP="003E1822">
      <w:pPr>
        <w:pStyle w:val="NoSpacing"/>
        <w:rPr>
          <w:szCs w:val="24"/>
        </w:rPr>
      </w:pPr>
    </w:p>
    <w:p w14:paraId="7E05C11E" w14:textId="77777777" w:rsidR="009479EB" w:rsidRPr="001B3304" w:rsidRDefault="009479EB" w:rsidP="003E1822">
      <w:pPr>
        <w:spacing w:line="276" w:lineRule="auto"/>
        <w:rPr>
          <w:rFonts w:ascii="Arial" w:hAnsi="Arial" w:cs="Arial"/>
          <w:color w:val="000000"/>
        </w:rPr>
      </w:pPr>
    </w:p>
    <w:p w14:paraId="28B1A1BC" w14:textId="2D9C27E9" w:rsidR="009479EB" w:rsidRPr="001B3304" w:rsidRDefault="009479EB" w:rsidP="003E1822">
      <w:pPr>
        <w:pStyle w:val="Heading4"/>
        <w:spacing w:line="276" w:lineRule="auto"/>
        <w:rPr>
          <w:rFonts w:cs="Arial"/>
          <w:color w:val="632423" w:themeColor="accent2" w:themeShade="80"/>
          <w:sz w:val="24"/>
          <w:szCs w:val="24"/>
          <w:lang w:val="en-CA"/>
        </w:rPr>
      </w:pPr>
      <w:r w:rsidRPr="001B3304">
        <w:rPr>
          <w:rFonts w:cs="Arial"/>
          <w:color w:val="632423" w:themeColor="accent2" w:themeShade="80"/>
          <w:sz w:val="24"/>
          <w:szCs w:val="24"/>
          <w:lang w:val="en-CA"/>
        </w:rPr>
        <w:t>Vitiation of Consent</w:t>
      </w:r>
      <w:r w:rsidR="007574E1" w:rsidRPr="001B3304">
        <w:rPr>
          <w:rFonts w:cs="Arial"/>
          <w:color w:val="632423" w:themeColor="accent2" w:themeShade="80"/>
          <w:sz w:val="24"/>
          <w:szCs w:val="24"/>
          <w:lang w:val="en-CA"/>
        </w:rPr>
        <w:t xml:space="preserve"> </w:t>
      </w:r>
    </w:p>
    <w:p w14:paraId="7B0C7F3A" w14:textId="5AB3EF8F" w:rsidR="009479EB" w:rsidRPr="001B3304" w:rsidRDefault="009479EB" w:rsidP="003E1822">
      <w:pPr>
        <w:pStyle w:val="NoSpacing"/>
        <w:rPr>
          <w:szCs w:val="24"/>
          <w:lang w:val="en-CA"/>
        </w:rPr>
      </w:pPr>
    </w:p>
    <w:p w14:paraId="43FA1997" w14:textId="6CB48B1F" w:rsidR="007574E1" w:rsidRPr="001B3304" w:rsidRDefault="007574E1" w:rsidP="003E1822">
      <w:pPr>
        <w:pStyle w:val="NoSpacing"/>
        <w:rPr>
          <w:szCs w:val="24"/>
          <w:lang w:val="en-CA"/>
        </w:rPr>
      </w:pPr>
    </w:p>
    <w:p w14:paraId="654A1939" w14:textId="227300CD" w:rsidR="007574E1" w:rsidRPr="001B3304" w:rsidRDefault="007574E1">
      <w:pPr>
        <w:pStyle w:val="Heading3"/>
        <w:numPr>
          <w:ilvl w:val="0"/>
          <w:numId w:val="51"/>
        </w:numPr>
      </w:pPr>
      <w:bookmarkStart w:id="90" w:name="_Toc134294128"/>
      <w:r w:rsidRPr="001B3304">
        <w:t>General Principles</w:t>
      </w:r>
      <w:bookmarkEnd w:id="90"/>
      <w:r w:rsidRPr="001B3304">
        <w:t xml:space="preserve"> </w:t>
      </w:r>
    </w:p>
    <w:p w14:paraId="3715197E" w14:textId="6BEE5D4D" w:rsidR="004B0B05" w:rsidRPr="001B3304" w:rsidRDefault="00000000" w:rsidP="003E1822">
      <w:pPr>
        <w:pStyle w:val="NoSpacing"/>
        <w:rPr>
          <w:szCs w:val="24"/>
        </w:rPr>
      </w:pPr>
      <w:hyperlink r:id="rId151" w:anchor="!fragment/sec265subsec3" w:tgtFrame="_blank" w:history="1">
        <w:r w:rsidR="004B0B05" w:rsidRPr="001B3304">
          <w:rPr>
            <w:szCs w:val="24"/>
          </w:rPr>
          <w:t>Section 265(3)</w:t>
        </w:r>
      </w:hyperlink>
      <w:r w:rsidR="004B0B05" w:rsidRPr="001B3304">
        <w:rPr>
          <w:szCs w:val="24"/>
        </w:rPr>
        <w:t> sets out four factors that will vitiate subjective consent to sexual activity. Subjective consent will not be given legal effect where it is the product of force, threats or fear of force, certain types of fraud, or the exercise of authority: </w:t>
      </w:r>
      <w:hyperlink r:id="rId152" w:anchor="!fragment/sec265subsec3" w:tgtFrame="_blank" w:history="1">
        <w:r w:rsidR="004B0B05" w:rsidRPr="001B3304">
          <w:rPr>
            <w:szCs w:val="24"/>
          </w:rPr>
          <w:t>s. 265(3)</w:t>
        </w:r>
      </w:hyperlink>
      <w:r w:rsidR="004B0B05" w:rsidRPr="001B3304">
        <w:rPr>
          <w:szCs w:val="24"/>
        </w:rPr>
        <w:t>(a) to (d). </w:t>
      </w:r>
      <w:hyperlink r:id="rId153" w:anchor="!fragment/sec273.1subsec2" w:tgtFrame="_blank" w:history="1">
        <w:r w:rsidR="004B0B05" w:rsidRPr="001B3304">
          <w:rPr>
            <w:szCs w:val="24"/>
          </w:rPr>
          <w:t>Section 273.1(2)</w:t>
        </w:r>
      </w:hyperlink>
      <w:r w:rsidR="004B0B05" w:rsidRPr="001B3304">
        <w:rPr>
          <w:szCs w:val="24"/>
        </w:rPr>
        <w:t>(c) also vitiates subjective consent where the complainant is induced into sexual activity by the accused abusing a position of trust, power, or authority: </w:t>
      </w:r>
      <w:r w:rsidR="004B0B05" w:rsidRPr="001B3304">
        <w:rPr>
          <w:i/>
          <w:iCs/>
          <w:szCs w:val="24"/>
          <w:lang w:val="en-CA"/>
        </w:rPr>
        <w:t xml:space="preserve">R v GF and RB, </w:t>
      </w:r>
      <w:hyperlink r:id="rId154" w:history="1">
        <w:r w:rsidR="004B0B05" w:rsidRPr="001B3304">
          <w:rPr>
            <w:rStyle w:val="Hyperlink"/>
            <w:szCs w:val="24"/>
            <w:lang w:val="en-CA"/>
          </w:rPr>
          <w:t>2021 SCC 20</w:t>
        </w:r>
      </w:hyperlink>
      <w:r w:rsidR="004B0B05" w:rsidRPr="001B3304">
        <w:rPr>
          <w:szCs w:val="24"/>
          <w:lang w:val="en-CA"/>
        </w:rPr>
        <w:t>, at para 35</w:t>
      </w:r>
    </w:p>
    <w:p w14:paraId="2630A02C" w14:textId="3C428A9B" w:rsidR="004B0B05" w:rsidRPr="001B3304" w:rsidRDefault="004B0B05" w:rsidP="003E1822">
      <w:pPr>
        <w:pStyle w:val="NoSpacing"/>
        <w:rPr>
          <w:szCs w:val="24"/>
          <w:lang w:val="en-CA"/>
        </w:rPr>
      </w:pPr>
    </w:p>
    <w:p w14:paraId="5FCC3FE3" w14:textId="738C27A2" w:rsidR="007574E1" w:rsidRPr="001B3304" w:rsidRDefault="007574E1" w:rsidP="004358F8">
      <w:pPr>
        <w:pStyle w:val="Heading3"/>
      </w:pPr>
      <w:bookmarkStart w:id="91" w:name="_Toc134294129"/>
      <w:r w:rsidRPr="001B3304">
        <w:t>Vitiation of Consent Based on Bodily Harm or Threats</w:t>
      </w:r>
      <w:bookmarkEnd w:id="91"/>
    </w:p>
    <w:p w14:paraId="5DDCC138" w14:textId="77777777" w:rsidR="007574E1" w:rsidRPr="001B3304" w:rsidRDefault="007574E1" w:rsidP="003E1822">
      <w:pPr>
        <w:pStyle w:val="NoSpacing"/>
        <w:rPr>
          <w:szCs w:val="24"/>
          <w:lang w:val="en-CA"/>
        </w:rPr>
      </w:pPr>
    </w:p>
    <w:p w14:paraId="23F0FE84" w14:textId="4E7E49A9" w:rsidR="009479EB" w:rsidRPr="001B3304" w:rsidRDefault="009479EB" w:rsidP="003E1822">
      <w:pPr>
        <w:pStyle w:val="NoSpacing"/>
        <w:rPr>
          <w:szCs w:val="24"/>
          <w:lang w:val="en-CA"/>
        </w:rPr>
      </w:pPr>
      <w:r w:rsidRPr="001B3304">
        <w:rPr>
          <w:szCs w:val="24"/>
          <w:lang w:val="en-CA"/>
        </w:rPr>
        <w:t xml:space="preserve">Bodily harm could negate or vitiate consent a complainant gave to sexual activity only if the accused actually intended to inflict bodily harm in the course of the sexual activity. Proof that the accused has caused bodily harm during non-consensual sexual activity is measured on an objective basis: </w:t>
      </w:r>
      <w:r w:rsidRPr="001B3304">
        <w:rPr>
          <w:i/>
          <w:szCs w:val="24"/>
          <w:lang w:val="en-CA"/>
        </w:rPr>
        <w:t xml:space="preserve">R v Graham, </w:t>
      </w:r>
      <w:hyperlink r:id="rId155" w:history="1">
        <w:r w:rsidRPr="001B3304">
          <w:rPr>
            <w:rStyle w:val="Hyperlink"/>
            <w:szCs w:val="24"/>
            <w:lang w:val="en-CA"/>
          </w:rPr>
          <w:t>2019 ONCA 347</w:t>
        </w:r>
      </w:hyperlink>
      <w:r w:rsidRPr="001B3304">
        <w:rPr>
          <w:szCs w:val="24"/>
          <w:lang w:val="en-CA"/>
        </w:rPr>
        <w:t>, at para 23</w:t>
      </w:r>
    </w:p>
    <w:p w14:paraId="3126DA91" w14:textId="3A9BBBBA" w:rsidR="00BD1783" w:rsidRPr="001B3304" w:rsidRDefault="00BD1783" w:rsidP="003E1822">
      <w:pPr>
        <w:pStyle w:val="NoSpacing"/>
        <w:rPr>
          <w:szCs w:val="24"/>
          <w:lang w:val="en-CA"/>
        </w:rPr>
      </w:pPr>
    </w:p>
    <w:p w14:paraId="037D9A40" w14:textId="5E04A37A" w:rsidR="00BD1783" w:rsidRPr="001B3304" w:rsidRDefault="00BD1783" w:rsidP="003E1822">
      <w:pPr>
        <w:pStyle w:val="NoSpacing"/>
        <w:rPr>
          <w:szCs w:val="24"/>
        </w:rPr>
      </w:pPr>
      <w:r w:rsidRPr="001B3304">
        <w:rPr>
          <w:szCs w:val="24"/>
        </w:rPr>
        <w:t xml:space="preserve">It may be open to a trial judge to conclude, even in the absence of specific threatening conduct attached to an act of sexual touching, that based on the totality of the evidence of the conduct between the parties, the voluntariness of a complainant’s subjective agreement to that act of sexual touching was vitiated by the control that the accused person exercised through violence and intimidation within their relationship. In other words, if a complainant agrees to sexual touching because of an operating fear of past acts of violence, their subjective agreement to sexual activity will be vitiated: </w:t>
      </w:r>
      <w:r w:rsidRPr="001B3304">
        <w:rPr>
          <w:i/>
          <w:iCs/>
          <w:szCs w:val="24"/>
        </w:rPr>
        <w:t xml:space="preserve">R v RH, </w:t>
      </w:r>
      <w:hyperlink r:id="rId156" w:history="1">
        <w:r w:rsidRPr="001B3304">
          <w:rPr>
            <w:rStyle w:val="Hyperlink"/>
            <w:szCs w:val="24"/>
          </w:rPr>
          <w:t>2022 ONCA 69</w:t>
        </w:r>
      </w:hyperlink>
      <w:r w:rsidRPr="001B3304">
        <w:rPr>
          <w:szCs w:val="24"/>
        </w:rPr>
        <w:t>, at para 6</w:t>
      </w:r>
    </w:p>
    <w:p w14:paraId="73007268" w14:textId="7331FFFB" w:rsidR="007979EE" w:rsidRPr="001B3304" w:rsidRDefault="007979EE" w:rsidP="003E1822">
      <w:pPr>
        <w:pStyle w:val="NoSpacing"/>
        <w:rPr>
          <w:szCs w:val="24"/>
        </w:rPr>
      </w:pPr>
    </w:p>
    <w:p w14:paraId="6036384B" w14:textId="62D96E02" w:rsidR="007979EE" w:rsidRPr="001B3304" w:rsidRDefault="007574E1" w:rsidP="004358F8">
      <w:pPr>
        <w:pStyle w:val="Heading3"/>
      </w:pPr>
      <w:bookmarkStart w:id="92" w:name="_Toc134294130"/>
      <w:r w:rsidRPr="001B3304">
        <w:t>Vitiation of Consent based on Fraud</w:t>
      </w:r>
      <w:bookmarkEnd w:id="92"/>
    </w:p>
    <w:p w14:paraId="42467486" w14:textId="2D5AA36F" w:rsidR="009479EB" w:rsidRPr="001B3304" w:rsidRDefault="009479EB" w:rsidP="003E1822">
      <w:pPr>
        <w:spacing w:line="276" w:lineRule="auto"/>
        <w:rPr>
          <w:rFonts w:ascii="Arial" w:hAnsi="Arial" w:cs="Arial"/>
        </w:rPr>
      </w:pPr>
    </w:p>
    <w:p w14:paraId="06DCF069" w14:textId="1B5EDCC9" w:rsidR="007574E1" w:rsidRPr="001B3304" w:rsidRDefault="007574E1" w:rsidP="007574E1">
      <w:pPr>
        <w:spacing w:before="100" w:beforeAutospacing="1" w:after="100" w:afterAutospacing="1"/>
        <w:jc w:val="both"/>
        <w:rPr>
          <w:rFonts w:ascii="Arial" w:hAnsi="Arial" w:cs="Arial"/>
          <w:color w:val="000000"/>
        </w:rPr>
      </w:pPr>
      <w:r w:rsidRPr="001B3304">
        <w:rPr>
          <w:rFonts w:ascii="Arial" w:hAnsi="Arial" w:cs="Arial"/>
          <w:color w:val="000000"/>
        </w:rPr>
        <w:t xml:space="preserve">To vitiate consent based on fraud, the Crown must prove:  </w:t>
      </w:r>
    </w:p>
    <w:p w14:paraId="007CDEEA" w14:textId="77777777" w:rsidR="007574E1" w:rsidRPr="001B3304" w:rsidRDefault="007574E1" w:rsidP="007574E1">
      <w:pPr>
        <w:pStyle w:val="NoSpacing"/>
        <w:numPr>
          <w:ilvl w:val="1"/>
          <w:numId w:val="39"/>
        </w:numPr>
        <w:rPr>
          <w:szCs w:val="24"/>
        </w:rPr>
      </w:pPr>
      <w:r w:rsidRPr="001B3304">
        <w:rPr>
          <w:i/>
          <w:iCs/>
          <w:szCs w:val="24"/>
        </w:rPr>
        <w:t>a dishonest act</w:t>
      </w:r>
      <w:r w:rsidRPr="001B3304">
        <w:rPr>
          <w:szCs w:val="24"/>
        </w:rPr>
        <w:t xml:space="preserve"> (either falsehoods or failure to disclose HIV status); and </w:t>
      </w:r>
    </w:p>
    <w:p w14:paraId="6C7E1247" w14:textId="4769E194" w:rsidR="007574E1" w:rsidRPr="001B3304" w:rsidRDefault="007574E1" w:rsidP="007574E1">
      <w:pPr>
        <w:pStyle w:val="NoSpacing"/>
        <w:numPr>
          <w:ilvl w:val="1"/>
          <w:numId w:val="39"/>
        </w:numPr>
        <w:rPr>
          <w:szCs w:val="24"/>
        </w:rPr>
      </w:pPr>
      <w:r w:rsidRPr="001B3304">
        <w:rPr>
          <w:i/>
          <w:iCs/>
          <w:szCs w:val="24"/>
        </w:rPr>
        <w:t>deprivation</w:t>
      </w:r>
      <w:r w:rsidRPr="001B3304">
        <w:rPr>
          <w:szCs w:val="24"/>
        </w:rPr>
        <w:t xml:space="preserve"> (denying the complainant knowledge which would have caused him or her to refuse sexual relations that exposed him or her to a significant risk of serious bodily harm): </w:t>
      </w:r>
      <w:r w:rsidRPr="001B3304">
        <w:rPr>
          <w:i/>
          <w:iCs/>
          <w:szCs w:val="24"/>
        </w:rPr>
        <w:t>R v Mabior</w:t>
      </w:r>
      <w:hyperlink r:id="rId157" w:history="1">
        <w:r w:rsidRPr="001B3304">
          <w:rPr>
            <w:rStyle w:val="Hyperlink"/>
            <w:i/>
            <w:iCs/>
            <w:szCs w:val="24"/>
          </w:rPr>
          <w:t xml:space="preserve">, </w:t>
        </w:r>
        <w:r w:rsidRPr="001B3304">
          <w:rPr>
            <w:rStyle w:val="Hyperlink"/>
            <w:szCs w:val="24"/>
          </w:rPr>
          <w:t>2012 SCC 47</w:t>
        </w:r>
      </w:hyperlink>
    </w:p>
    <w:p w14:paraId="43FFBD7D" w14:textId="77777777" w:rsidR="007574E1" w:rsidRPr="001B3304" w:rsidRDefault="007574E1" w:rsidP="007574E1">
      <w:pPr>
        <w:pStyle w:val="NoSpacing"/>
        <w:ind w:left="1440"/>
        <w:rPr>
          <w:szCs w:val="24"/>
        </w:rPr>
      </w:pPr>
    </w:p>
    <w:p w14:paraId="597DC881" w14:textId="7AB6CE3A" w:rsidR="00175886" w:rsidRPr="001B3304" w:rsidRDefault="009479EB" w:rsidP="003E1822">
      <w:pPr>
        <w:pStyle w:val="NoSpacing"/>
        <w:rPr>
          <w:szCs w:val="24"/>
        </w:rPr>
      </w:pPr>
      <w:r w:rsidRPr="001B3304">
        <w:rPr>
          <w:szCs w:val="24"/>
        </w:rPr>
        <w:lastRenderedPageBreak/>
        <w:t>The failure to disclose a condition that poses a significant risk of serious bodily harm amounts to fraud that vitiates consent to sex: </w:t>
      </w:r>
      <w:r w:rsidRPr="001B3304">
        <w:rPr>
          <w:i/>
          <w:iCs/>
          <w:szCs w:val="24"/>
        </w:rPr>
        <w:t>R v Boone, </w:t>
      </w:r>
      <w:r w:rsidRPr="001B3304">
        <w:rPr>
          <w:szCs w:val="24"/>
          <w:u w:val="single"/>
        </w:rPr>
        <w:t>2016 ONCA 227</w:t>
      </w:r>
      <w:r w:rsidRPr="001B3304">
        <w:rPr>
          <w:szCs w:val="24"/>
        </w:rPr>
        <w:t xml:space="preserve"> at para 15. The Crown still must prove beyond a reasonable doubt </w:t>
      </w:r>
      <w:r w:rsidR="00175886" w:rsidRPr="001B3304">
        <w:rPr>
          <w:color w:val="000000"/>
          <w:szCs w:val="24"/>
        </w:rPr>
        <w:t>if the jury is satisfied beyond a reasonable doubt that: (1) there has been non-disclosure of HIV infection; (2) the complainant would have refused consent had disclosure been made; and (3) the sexual activity in question posed a “realistic possibility of HIV transmission”</w:t>
      </w:r>
      <w:r w:rsidR="00175886" w:rsidRPr="001B3304">
        <w:rPr>
          <w:color w:val="000000"/>
          <w:szCs w:val="24"/>
        </w:rPr>
        <w:t xml:space="preserve">; </w:t>
      </w:r>
      <w:r w:rsidR="00175886" w:rsidRPr="001B3304">
        <w:rPr>
          <w:i/>
          <w:iCs/>
          <w:szCs w:val="24"/>
        </w:rPr>
        <w:t>Boone</w:t>
      </w:r>
      <w:r w:rsidR="00175886" w:rsidRPr="001B3304">
        <w:rPr>
          <w:szCs w:val="24"/>
        </w:rPr>
        <w:t> at para 16​</w:t>
      </w:r>
      <w:r w:rsidR="00175886" w:rsidRPr="001B3304">
        <w:rPr>
          <w:szCs w:val="24"/>
        </w:rPr>
        <w:t xml:space="preserve">: </w:t>
      </w:r>
      <w:r w:rsidR="00175886" w:rsidRPr="001B3304">
        <w:rPr>
          <w:i/>
          <w:iCs/>
          <w:szCs w:val="24"/>
        </w:rPr>
        <w:t xml:space="preserve">R v </w:t>
      </w:r>
      <w:proofErr w:type="spellStart"/>
      <w:r w:rsidR="00175886" w:rsidRPr="001B3304">
        <w:rPr>
          <w:i/>
          <w:iCs/>
          <w:szCs w:val="24"/>
        </w:rPr>
        <w:t>Aziago</w:t>
      </w:r>
      <w:proofErr w:type="spellEnd"/>
      <w:r w:rsidR="00175886" w:rsidRPr="001B3304">
        <w:rPr>
          <w:i/>
          <w:iCs/>
          <w:szCs w:val="24"/>
        </w:rPr>
        <w:t xml:space="preserve">, </w:t>
      </w:r>
      <w:hyperlink r:id="rId158" w:history="1">
        <w:r w:rsidR="00175886" w:rsidRPr="001B3304">
          <w:rPr>
            <w:rStyle w:val="Hyperlink"/>
            <w:szCs w:val="24"/>
          </w:rPr>
          <w:t>2023 ONCA 12</w:t>
        </w:r>
      </w:hyperlink>
      <w:r w:rsidR="00175886" w:rsidRPr="001B3304">
        <w:rPr>
          <w:szCs w:val="24"/>
        </w:rPr>
        <w:t>, at para 52</w:t>
      </w:r>
    </w:p>
    <w:p w14:paraId="0C8E7078" w14:textId="77777777" w:rsidR="007574E1" w:rsidRPr="001B3304" w:rsidRDefault="007574E1" w:rsidP="007574E1">
      <w:pPr>
        <w:pStyle w:val="NoSpacing"/>
        <w:rPr>
          <w:szCs w:val="24"/>
        </w:rPr>
      </w:pPr>
    </w:p>
    <w:p w14:paraId="296FCA52" w14:textId="1A278B7B" w:rsidR="007979EE" w:rsidRPr="001B3304" w:rsidRDefault="007979EE" w:rsidP="007574E1">
      <w:pPr>
        <w:pStyle w:val="NoSpacing"/>
        <w:rPr>
          <w:szCs w:val="24"/>
        </w:rPr>
      </w:pPr>
      <w:r w:rsidRPr="001B3304">
        <w:rPr>
          <w:szCs w:val="24"/>
        </w:rPr>
        <w:t>A significant risk of bodily harm is established where there exists a “realistic possibility of transmission of HIV” from the sexual contact at issue</w:t>
      </w:r>
      <w:r w:rsidR="007574E1" w:rsidRPr="001B3304">
        <w:rPr>
          <w:szCs w:val="24"/>
        </w:rPr>
        <w:t xml:space="preserve">. In Mabior, the SCC in 2012 held that the </w:t>
      </w:r>
      <w:proofErr w:type="spellStart"/>
      <w:r w:rsidR="007574E1" w:rsidRPr="001B3304">
        <w:rPr>
          <w:szCs w:val="24"/>
        </w:rPr>
        <w:t>t</w:t>
      </w:r>
      <w:r w:rsidRPr="001B3304">
        <w:rPr>
          <w:szCs w:val="24"/>
        </w:rPr>
        <w:t>he</w:t>
      </w:r>
      <w:proofErr w:type="spellEnd"/>
      <w:r w:rsidRPr="001B3304">
        <w:rPr>
          <w:szCs w:val="24"/>
        </w:rPr>
        <w:t xml:space="preserve"> presence of two factors will negate a realistic possibility of HIV transmission: (</w:t>
      </w:r>
      <w:proofErr w:type="spellStart"/>
      <w:r w:rsidRPr="001B3304">
        <w:rPr>
          <w:szCs w:val="24"/>
        </w:rPr>
        <w:t>i</w:t>
      </w:r>
      <w:proofErr w:type="spellEnd"/>
      <w:r w:rsidRPr="001B3304">
        <w:rPr>
          <w:szCs w:val="24"/>
        </w:rPr>
        <w:t>) the accused’s viral load at the time of the sexual relations was “low”; and (ii) a condom was used</w:t>
      </w:r>
      <w:r w:rsidR="007574E1" w:rsidRPr="001B3304">
        <w:rPr>
          <w:szCs w:val="24"/>
        </w:rPr>
        <w:t xml:space="preserve">. However, in </w:t>
      </w:r>
      <w:r w:rsidR="007574E1" w:rsidRPr="001B3304">
        <w:rPr>
          <w:i/>
          <w:iCs/>
          <w:szCs w:val="24"/>
        </w:rPr>
        <w:t>Murphy</w:t>
      </w:r>
      <w:r w:rsidR="007574E1" w:rsidRPr="001B3304">
        <w:rPr>
          <w:szCs w:val="24"/>
        </w:rPr>
        <w:t>, based on scientific advancements since that time, the Court of Appeal found that a</w:t>
      </w:r>
      <w:r w:rsidR="00225CAA" w:rsidRPr="001B3304">
        <w:rPr>
          <w:szCs w:val="24"/>
        </w:rPr>
        <w:t xml:space="preserve">n undetectable </w:t>
      </w:r>
      <w:r w:rsidR="007574E1" w:rsidRPr="001B3304">
        <w:rPr>
          <w:szCs w:val="24"/>
        </w:rPr>
        <w:t>viral load</w:t>
      </w:r>
      <w:r w:rsidR="00225CAA" w:rsidRPr="001B3304">
        <w:rPr>
          <w:szCs w:val="24"/>
        </w:rPr>
        <w:t>, combined with anti-viral treatment,</w:t>
      </w:r>
      <w:r w:rsidR="007574E1" w:rsidRPr="001B3304">
        <w:rPr>
          <w:szCs w:val="24"/>
        </w:rPr>
        <w:t xml:space="preserve"> </w:t>
      </w:r>
      <w:r w:rsidR="00225CAA" w:rsidRPr="001B3304">
        <w:rPr>
          <w:szCs w:val="24"/>
        </w:rPr>
        <w:t xml:space="preserve">even without the use of a condom, </w:t>
      </w:r>
      <w:r w:rsidR="007574E1" w:rsidRPr="001B3304">
        <w:rPr>
          <w:szCs w:val="24"/>
        </w:rPr>
        <w:t>may be sufficient to negate a realistic possibility of HIV transmission</w:t>
      </w:r>
      <w:r w:rsidR="00225CAA" w:rsidRPr="001B3304">
        <w:rPr>
          <w:szCs w:val="24"/>
        </w:rPr>
        <w:t>”</w:t>
      </w:r>
      <w:r w:rsidR="007574E1" w:rsidRPr="001B3304">
        <w:rPr>
          <w:szCs w:val="24"/>
        </w:rPr>
        <w:t xml:space="preserve"> </w:t>
      </w:r>
      <w:r w:rsidR="007574E1" w:rsidRPr="001B3304">
        <w:rPr>
          <w:i/>
          <w:iCs/>
          <w:szCs w:val="24"/>
        </w:rPr>
        <w:t xml:space="preserve">R v Murphy, </w:t>
      </w:r>
      <w:hyperlink r:id="rId159" w:history="1">
        <w:r w:rsidR="007574E1" w:rsidRPr="001B3304">
          <w:rPr>
            <w:rStyle w:val="Hyperlink"/>
            <w:szCs w:val="24"/>
          </w:rPr>
          <w:t>2022 ONCA 615</w:t>
        </w:r>
      </w:hyperlink>
      <w:r w:rsidR="007574E1" w:rsidRPr="001B3304">
        <w:rPr>
          <w:szCs w:val="24"/>
        </w:rPr>
        <w:t>, at paras 16-26</w:t>
      </w:r>
      <w:r w:rsidR="00225CAA" w:rsidRPr="001B3304">
        <w:rPr>
          <w:szCs w:val="24"/>
        </w:rPr>
        <w:t>. Importantly, the court did not limit its conclusion to say that this was the only circumstance in which an accused could negate a realistic possibility of transmission: see para 40</w:t>
      </w:r>
    </w:p>
    <w:p w14:paraId="7A1EB995" w14:textId="07C28969" w:rsidR="00100981" w:rsidRPr="001B3304" w:rsidRDefault="00100981" w:rsidP="007574E1">
      <w:pPr>
        <w:pStyle w:val="NoSpacing"/>
        <w:rPr>
          <w:szCs w:val="24"/>
        </w:rPr>
      </w:pPr>
    </w:p>
    <w:p w14:paraId="2E35D0E1" w14:textId="06C67B29" w:rsidR="00100981" w:rsidRPr="001B3304" w:rsidRDefault="00100981" w:rsidP="00100981">
      <w:pPr>
        <w:pStyle w:val="NoSpacing"/>
        <w:rPr>
          <w:szCs w:val="24"/>
        </w:rPr>
      </w:pPr>
      <w:r w:rsidRPr="001B3304">
        <w:rPr>
          <w:szCs w:val="24"/>
        </w:rPr>
        <w:t xml:space="preserve">In </w:t>
      </w:r>
      <w:proofErr w:type="spellStart"/>
      <w:r w:rsidRPr="001B3304">
        <w:rPr>
          <w:szCs w:val="24"/>
        </w:rPr>
        <w:t>Rubara</w:t>
      </w:r>
      <w:proofErr w:type="spellEnd"/>
      <w:r w:rsidRPr="001B3304">
        <w:rPr>
          <w:szCs w:val="24"/>
        </w:rPr>
        <w:t xml:space="preserve">, the Court of Appeal overturned a sexual assault conviction and entered an acquittal on the basis that new evidence demonstrated that the appellant was an “elite controller” of HIV at the time of the alleged assault. This meant that his immune system response is naturally effective against the virus; and that his viral load, as measured by blood tests, remains very low without medication. The evidence demonstrated that </w:t>
      </w:r>
      <w:r w:rsidRPr="001B3304">
        <w:rPr>
          <w:color w:val="000000"/>
          <w:szCs w:val="24"/>
        </w:rPr>
        <w:t xml:space="preserve">there was no realistic possibility of risk of HIV transmission sufficient to constitute a deprivation of consent: </w:t>
      </w:r>
      <w:r w:rsidRPr="001B3304">
        <w:rPr>
          <w:i/>
          <w:iCs/>
          <w:color w:val="000000"/>
          <w:szCs w:val="24"/>
        </w:rPr>
        <w:t xml:space="preserve">R v </w:t>
      </w:r>
      <w:proofErr w:type="spellStart"/>
      <w:r w:rsidRPr="001B3304">
        <w:rPr>
          <w:i/>
          <w:iCs/>
          <w:color w:val="000000"/>
          <w:szCs w:val="24"/>
        </w:rPr>
        <w:t>Rubara</w:t>
      </w:r>
      <w:proofErr w:type="spellEnd"/>
      <w:r w:rsidRPr="001B3304">
        <w:rPr>
          <w:i/>
          <w:iCs/>
          <w:color w:val="000000"/>
          <w:szCs w:val="24"/>
        </w:rPr>
        <w:t xml:space="preserve">, </w:t>
      </w:r>
      <w:hyperlink r:id="rId160" w:history="1">
        <w:r w:rsidRPr="001B3304">
          <w:rPr>
            <w:rStyle w:val="Hyperlink"/>
            <w:szCs w:val="24"/>
          </w:rPr>
          <w:t>2022 ONCA 694</w:t>
        </w:r>
      </w:hyperlink>
    </w:p>
    <w:p w14:paraId="3CD3FDE0" w14:textId="77777777" w:rsidR="007979EE" w:rsidRPr="001B3304" w:rsidRDefault="007979EE" w:rsidP="003E1822">
      <w:pPr>
        <w:pStyle w:val="NoSpacing"/>
        <w:rPr>
          <w:szCs w:val="24"/>
        </w:rPr>
      </w:pPr>
    </w:p>
    <w:p w14:paraId="687340F3" w14:textId="77777777" w:rsidR="009479EB" w:rsidRPr="001B3304" w:rsidRDefault="009479EB" w:rsidP="003E1822">
      <w:pPr>
        <w:pStyle w:val="NoSpacing"/>
        <w:rPr>
          <w:szCs w:val="24"/>
        </w:rPr>
      </w:pPr>
      <w:r w:rsidRPr="001B3304">
        <w:rPr>
          <w:szCs w:val="24"/>
        </w:rPr>
        <w:t>Evidence of a complainant’s general disposition to expose himself to an unknown risk (i.e. by having casual unprotected sex) is not probative of whether or not a complainant would be willing to accept a serious known risk.: </w:t>
      </w:r>
      <w:r w:rsidRPr="001B3304">
        <w:rPr>
          <w:i/>
          <w:iCs/>
          <w:szCs w:val="24"/>
        </w:rPr>
        <w:t>R v Boone, </w:t>
      </w:r>
      <w:r w:rsidRPr="001B3304">
        <w:rPr>
          <w:szCs w:val="24"/>
          <w:u w:val="single"/>
        </w:rPr>
        <w:t>2016 ONCA 227</w:t>
      </w:r>
      <w:r w:rsidRPr="001B3304">
        <w:rPr>
          <w:szCs w:val="24"/>
        </w:rPr>
        <w:t> at paras 38, 40. </w:t>
      </w:r>
    </w:p>
    <w:p w14:paraId="288F9ABF" w14:textId="77777777" w:rsidR="009479EB" w:rsidRPr="001B3304" w:rsidRDefault="009479EB" w:rsidP="003E1822">
      <w:pPr>
        <w:pStyle w:val="NoSpacing"/>
        <w:rPr>
          <w:szCs w:val="24"/>
        </w:rPr>
      </w:pPr>
    </w:p>
    <w:p w14:paraId="093CAF45" w14:textId="08BDB04B" w:rsidR="009479EB" w:rsidRPr="001B3304" w:rsidRDefault="009479EB" w:rsidP="004B0B05">
      <w:pPr>
        <w:pStyle w:val="NoSpacing"/>
        <w:rPr>
          <w:szCs w:val="24"/>
        </w:rPr>
      </w:pPr>
      <w:r w:rsidRPr="001B3304">
        <w:rPr>
          <w:szCs w:val="24"/>
        </w:rPr>
        <w:t>However, evidence that a complainant previously consented to unprotected sex knowing his/her partner has a transmittable disease may be sufficiently relevant to the determination of whether the complainant consented to the same risk with the accused: </w:t>
      </w:r>
      <w:r w:rsidRPr="001B3304">
        <w:rPr>
          <w:i/>
          <w:iCs/>
          <w:szCs w:val="24"/>
        </w:rPr>
        <w:t>Boone </w:t>
      </w:r>
      <w:r w:rsidRPr="001B3304">
        <w:rPr>
          <w:szCs w:val="24"/>
        </w:rPr>
        <w:t>at para 42</w:t>
      </w:r>
    </w:p>
    <w:p w14:paraId="5B7282D3" w14:textId="5311BE8E" w:rsidR="00D34881" w:rsidRPr="001B3304" w:rsidRDefault="00D34881" w:rsidP="003E1822">
      <w:pPr>
        <w:spacing w:line="276" w:lineRule="auto"/>
        <w:rPr>
          <w:rFonts w:ascii="Arial" w:hAnsi="Arial" w:cs="Arial"/>
        </w:rPr>
      </w:pPr>
    </w:p>
    <w:p w14:paraId="6AC8289F" w14:textId="77777777" w:rsidR="00D34881" w:rsidRPr="001B3304" w:rsidRDefault="00D34881" w:rsidP="003E1822">
      <w:pPr>
        <w:spacing w:line="276" w:lineRule="auto"/>
        <w:rPr>
          <w:rFonts w:ascii="Arial" w:hAnsi="Arial" w:cs="Arial"/>
        </w:rPr>
      </w:pPr>
    </w:p>
    <w:p w14:paraId="05C51146" w14:textId="77777777" w:rsidR="009479EB" w:rsidRPr="001B3304" w:rsidRDefault="009479EB" w:rsidP="003E1822">
      <w:pPr>
        <w:pStyle w:val="NoSpacing"/>
        <w:rPr>
          <w:szCs w:val="24"/>
        </w:rPr>
      </w:pPr>
    </w:p>
    <w:p w14:paraId="08607384" w14:textId="4CB86C15" w:rsidR="009479EB" w:rsidRPr="001B3304" w:rsidRDefault="009479EB" w:rsidP="003E1822">
      <w:pPr>
        <w:pStyle w:val="Heading4"/>
        <w:spacing w:line="276" w:lineRule="auto"/>
        <w:rPr>
          <w:rFonts w:cs="Arial"/>
          <w:color w:val="632423" w:themeColor="accent2" w:themeShade="80"/>
          <w:sz w:val="24"/>
          <w:szCs w:val="24"/>
        </w:rPr>
      </w:pPr>
      <w:r w:rsidRPr="001B3304">
        <w:rPr>
          <w:rFonts w:cs="Arial"/>
          <w:color w:val="632423" w:themeColor="accent2" w:themeShade="80"/>
          <w:sz w:val="24"/>
          <w:szCs w:val="24"/>
        </w:rPr>
        <w:t>Honest but Mistaken Belief in Consent</w:t>
      </w:r>
    </w:p>
    <w:p w14:paraId="601A8D1F" w14:textId="77777777" w:rsidR="009479EB" w:rsidRPr="001B3304" w:rsidRDefault="009479EB" w:rsidP="003E1822">
      <w:pPr>
        <w:pStyle w:val="NoSpacing"/>
        <w:rPr>
          <w:szCs w:val="24"/>
        </w:rPr>
      </w:pPr>
    </w:p>
    <w:p w14:paraId="4B306D14" w14:textId="0A2EDB0A" w:rsidR="009479EB" w:rsidRPr="001B3304" w:rsidRDefault="009479EB" w:rsidP="003E1822">
      <w:pPr>
        <w:pStyle w:val="NoSpacing"/>
        <w:rPr>
          <w:szCs w:val="24"/>
          <w:lang w:val="en-CA"/>
        </w:rPr>
      </w:pPr>
      <w:r w:rsidRPr="001B3304">
        <w:rPr>
          <w:szCs w:val="24"/>
          <w:lang w:val="en-CA"/>
        </w:rPr>
        <w:t>A lack of verbal resistance is not “implied” consent and that a belief that silence, passivity or ambiguous conduct constitutes consent is a mistake of law and provides no defence to an accused asserting reasonable belief in consent:</w:t>
      </w:r>
      <w:r w:rsidRPr="001B3304">
        <w:rPr>
          <w:i/>
          <w:iCs/>
          <w:szCs w:val="24"/>
          <w:lang w:val="en-CA"/>
        </w:rPr>
        <w:t xml:space="preserve"> R v GF and RB, </w:t>
      </w:r>
      <w:hyperlink r:id="rId161" w:history="1">
        <w:r w:rsidRPr="001B3304">
          <w:rPr>
            <w:rStyle w:val="Hyperlink"/>
            <w:szCs w:val="24"/>
            <w:lang w:val="en-CA"/>
          </w:rPr>
          <w:t>2019 ONCA 493</w:t>
        </w:r>
      </w:hyperlink>
      <w:r w:rsidRPr="001B3304">
        <w:rPr>
          <w:szCs w:val="24"/>
          <w:lang w:val="en-CA"/>
        </w:rPr>
        <w:t>, at para 44</w:t>
      </w:r>
    </w:p>
    <w:p w14:paraId="5CD3FA26" w14:textId="77777777" w:rsidR="009479EB" w:rsidRPr="001B3304" w:rsidRDefault="009479EB" w:rsidP="003E1822">
      <w:pPr>
        <w:pStyle w:val="NoSpacing"/>
        <w:rPr>
          <w:szCs w:val="24"/>
        </w:rPr>
      </w:pPr>
    </w:p>
    <w:p w14:paraId="17D0E3D8" w14:textId="7E56A3B9" w:rsidR="00D77D67" w:rsidRPr="001B3304" w:rsidRDefault="00D77D67" w:rsidP="003E1822">
      <w:pPr>
        <w:pStyle w:val="NoSpacing"/>
        <w:rPr>
          <w:szCs w:val="24"/>
        </w:rPr>
      </w:pPr>
      <w:r w:rsidRPr="001B3304">
        <w:rPr>
          <w:szCs w:val="24"/>
        </w:rPr>
        <w:t xml:space="preserve">Testimony by an accused is not a prerequisite to an argument that the accused lacked the mental state necessary to support conviction. However, there must be some evidence to show that the “complainant communicated consent to engage in the sexual activity in question” and that the accused believed she had communicated that consent. That evidence may be derived from the circumstances surrounding the event and the behavior of the involved parties: </w:t>
      </w:r>
      <w:r w:rsidRPr="001B3304">
        <w:rPr>
          <w:i/>
          <w:szCs w:val="24"/>
        </w:rPr>
        <w:t xml:space="preserve">R v </w:t>
      </w:r>
      <w:proofErr w:type="spellStart"/>
      <w:r w:rsidRPr="001B3304">
        <w:rPr>
          <w:i/>
          <w:szCs w:val="24"/>
        </w:rPr>
        <w:t>Notfall</w:t>
      </w:r>
      <w:proofErr w:type="spellEnd"/>
      <w:r w:rsidRPr="001B3304">
        <w:rPr>
          <w:i/>
          <w:szCs w:val="24"/>
        </w:rPr>
        <w:t xml:space="preserve">, </w:t>
      </w:r>
      <w:hyperlink r:id="rId162" w:history="1">
        <w:r w:rsidRPr="001B3304">
          <w:rPr>
            <w:rStyle w:val="Hyperlink"/>
            <w:szCs w:val="24"/>
          </w:rPr>
          <w:t xml:space="preserve">2018 </w:t>
        </w:r>
        <w:proofErr w:type="spellStart"/>
        <w:r w:rsidRPr="001B3304">
          <w:rPr>
            <w:rStyle w:val="Hyperlink"/>
            <w:szCs w:val="24"/>
          </w:rPr>
          <w:t>OnCA</w:t>
        </w:r>
        <w:proofErr w:type="spellEnd"/>
        <w:r w:rsidRPr="001B3304">
          <w:rPr>
            <w:rStyle w:val="Hyperlink"/>
            <w:szCs w:val="24"/>
          </w:rPr>
          <w:t xml:space="preserve"> 538</w:t>
        </w:r>
      </w:hyperlink>
      <w:r w:rsidRPr="001B3304">
        <w:rPr>
          <w:szCs w:val="24"/>
        </w:rPr>
        <w:t xml:space="preserve"> at para 8 </w:t>
      </w:r>
    </w:p>
    <w:p w14:paraId="78AF0573" w14:textId="6D710A5B" w:rsidR="00D77D67" w:rsidRPr="001B3304" w:rsidRDefault="00D77D67" w:rsidP="003E1822">
      <w:pPr>
        <w:pStyle w:val="NoSpacing"/>
        <w:rPr>
          <w:szCs w:val="24"/>
        </w:rPr>
      </w:pPr>
    </w:p>
    <w:p w14:paraId="7036EB0E" w14:textId="35EC6B0A" w:rsidR="00D77D67" w:rsidRPr="001B3304" w:rsidRDefault="00D77D67" w:rsidP="003E1822">
      <w:pPr>
        <w:pStyle w:val="NoSpacing"/>
        <w:rPr>
          <w:szCs w:val="24"/>
          <w:lang w:val="en-CA"/>
        </w:rPr>
      </w:pPr>
      <w:r w:rsidRPr="001B3304">
        <w:rPr>
          <w:szCs w:val="24"/>
          <w:lang w:val="en-CA"/>
        </w:rPr>
        <w:t>Honest but mistaken belief</w:t>
      </w:r>
      <w:r w:rsidR="009479EB" w:rsidRPr="001B3304">
        <w:rPr>
          <w:szCs w:val="24"/>
          <w:lang w:val="en-CA"/>
        </w:rPr>
        <w:t xml:space="preserve"> </w:t>
      </w:r>
      <w:r w:rsidRPr="001B3304">
        <w:rPr>
          <w:szCs w:val="24"/>
          <w:lang w:val="en-CA"/>
        </w:rPr>
        <w:t>is </w:t>
      </w:r>
      <w:r w:rsidRPr="001B3304">
        <w:rPr>
          <w:i/>
          <w:iCs/>
          <w:szCs w:val="24"/>
          <w:lang w:val="en-CA"/>
        </w:rPr>
        <w:t>communicated</w:t>
      </w:r>
      <w:r w:rsidRPr="001B3304">
        <w:rPr>
          <w:szCs w:val="24"/>
          <w:lang w:val="en-CA"/>
        </w:rPr>
        <w:t> consent as opposed to </w:t>
      </w:r>
      <w:r w:rsidRPr="001B3304">
        <w:rPr>
          <w:i/>
          <w:iCs/>
          <w:szCs w:val="24"/>
          <w:lang w:val="en-CA"/>
        </w:rPr>
        <w:t>assumed</w:t>
      </w:r>
      <w:r w:rsidRPr="001B3304">
        <w:rPr>
          <w:szCs w:val="24"/>
          <w:lang w:val="en-CA"/>
        </w:rPr>
        <w:t> or </w:t>
      </w:r>
      <w:r w:rsidRPr="001B3304">
        <w:rPr>
          <w:i/>
          <w:iCs/>
          <w:szCs w:val="24"/>
          <w:lang w:val="en-CA"/>
        </w:rPr>
        <w:t>implied</w:t>
      </w:r>
      <w:r w:rsidRPr="001B3304">
        <w:rPr>
          <w:szCs w:val="24"/>
          <w:lang w:val="en-CA"/>
        </w:rPr>
        <w:t xml:space="preserve"> consent: </w:t>
      </w:r>
      <w:r w:rsidRPr="001B3304">
        <w:rPr>
          <w:i/>
          <w:iCs/>
          <w:szCs w:val="24"/>
          <w:lang w:val="en-CA"/>
        </w:rPr>
        <w:t>R v Barton</w:t>
      </w:r>
      <w:r w:rsidRPr="001B3304">
        <w:rPr>
          <w:szCs w:val="24"/>
          <w:lang w:val="en-CA"/>
        </w:rPr>
        <w:t xml:space="preserve">, </w:t>
      </w:r>
      <w:hyperlink r:id="rId163" w:history="1">
        <w:r w:rsidRPr="001B3304">
          <w:rPr>
            <w:rStyle w:val="Hyperlink"/>
            <w:szCs w:val="24"/>
            <w:lang w:val="en-CA"/>
          </w:rPr>
          <w:t>2019 SCC 33;</w:t>
        </w:r>
      </w:hyperlink>
      <w:r w:rsidRPr="001B3304">
        <w:rPr>
          <w:szCs w:val="24"/>
          <w:lang w:val="en-CA"/>
        </w:rPr>
        <w:t xml:space="preserve"> </w:t>
      </w:r>
      <w:r w:rsidRPr="001B3304">
        <w:rPr>
          <w:i/>
          <w:iCs/>
          <w:szCs w:val="24"/>
          <w:lang w:val="en-CA"/>
        </w:rPr>
        <w:t xml:space="preserve">R v LT, </w:t>
      </w:r>
      <w:hyperlink r:id="rId164" w:history="1">
        <w:r w:rsidRPr="001B3304">
          <w:rPr>
            <w:rStyle w:val="Hyperlink"/>
            <w:szCs w:val="24"/>
            <w:lang w:val="en-CA"/>
          </w:rPr>
          <w:t>2019 ONCA 535</w:t>
        </w:r>
      </w:hyperlink>
      <w:r w:rsidRPr="001B3304">
        <w:rPr>
          <w:szCs w:val="24"/>
          <w:lang w:val="en-CA"/>
        </w:rPr>
        <w:t>, at para 4</w:t>
      </w:r>
    </w:p>
    <w:p w14:paraId="4B2F2697" w14:textId="6AE83A88" w:rsidR="007B2DED" w:rsidRPr="001B3304" w:rsidRDefault="007B2DED" w:rsidP="003E1822">
      <w:pPr>
        <w:pStyle w:val="NoSpacing"/>
        <w:rPr>
          <w:szCs w:val="24"/>
          <w:lang w:val="en-CA"/>
        </w:rPr>
      </w:pPr>
    </w:p>
    <w:p w14:paraId="6A1A5EC7" w14:textId="1006598F" w:rsidR="007B2DED" w:rsidRPr="001B3304" w:rsidRDefault="007B2DED" w:rsidP="003E1822">
      <w:pPr>
        <w:pStyle w:val="NoSpacing"/>
        <w:rPr>
          <w:szCs w:val="24"/>
          <w:lang w:val="en-CA"/>
        </w:rPr>
      </w:pPr>
      <w:r w:rsidRPr="001B3304">
        <w:rPr>
          <w:szCs w:val="24"/>
          <w:lang w:val="en-CA"/>
        </w:rPr>
        <w:t xml:space="preserve">To determine whether an accused had an honest but mistaken belief in consent, the trier of fact must factor in whether s/he took reasonable steps to ascertain consent in the first place. If there is an air of reality to the defence, it should be left with the jury. It then falls to the Crown to negate the defence beyond a reasonable doubt, which can occur if the Crown proves that the accused did not take reasonable steps to ascertain consent, or did not subjectively have an honest believe in consent: </w:t>
      </w:r>
      <w:r w:rsidRPr="001B3304">
        <w:rPr>
          <w:i/>
          <w:iCs/>
          <w:szCs w:val="24"/>
          <w:lang w:val="en-CA"/>
        </w:rPr>
        <w:t xml:space="preserve">R v Barton, </w:t>
      </w:r>
      <w:hyperlink r:id="rId165" w:history="1">
        <w:r w:rsidRPr="001B3304">
          <w:rPr>
            <w:rStyle w:val="Hyperlink"/>
            <w:szCs w:val="24"/>
            <w:lang w:val="en-CA"/>
          </w:rPr>
          <w:t>2009 SCC 33</w:t>
        </w:r>
      </w:hyperlink>
      <w:r w:rsidRPr="001B3304">
        <w:rPr>
          <w:szCs w:val="24"/>
          <w:lang w:val="en-CA"/>
        </w:rPr>
        <w:t xml:space="preserve"> </w:t>
      </w:r>
    </w:p>
    <w:p w14:paraId="76F3CC70" w14:textId="77777777" w:rsidR="00D77D67" w:rsidRPr="001B3304" w:rsidRDefault="00D77D67" w:rsidP="003E1822">
      <w:pPr>
        <w:pStyle w:val="NoSpacing"/>
        <w:rPr>
          <w:szCs w:val="24"/>
        </w:rPr>
      </w:pPr>
    </w:p>
    <w:p w14:paraId="70F9E560" w14:textId="43C1A56B" w:rsidR="00F40832" w:rsidRPr="001B3304" w:rsidRDefault="00F40832" w:rsidP="003E1822">
      <w:pPr>
        <w:pStyle w:val="NoSpacing"/>
        <w:rPr>
          <w:szCs w:val="24"/>
        </w:rPr>
      </w:pPr>
      <w:r w:rsidRPr="001B3304">
        <w:rPr>
          <w:szCs w:val="24"/>
        </w:rPr>
        <w:t xml:space="preserve">To avoid conviction based on an honest but mistaken belief in consent, the accused must believe in a state of facts that amount to consent according to law: </w:t>
      </w:r>
      <w:r w:rsidRPr="001B3304">
        <w:rPr>
          <w:i/>
          <w:szCs w:val="24"/>
        </w:rPr>
        <w:t xml:space="preserve">R v HE, </w:t>
      </w:r>
      <w:hyperlink r:id="rId166" w:history="1">
        <w:r w:rsidRPr="001B3304">
          <w:rPr>
            <w:rStyle w:val="Hyperlink"/>
            <w:szCs w:val="24"/>
          </w:rPr>
          <w:t>2018 ONCA 879</w:t>
        </w:r>
      </w:hyperlink>
      <w:r w:rsidRPr="001B3304">
        <w:rPr>
          <w:szCs w:val="24"/>
        </w:rPr>
        <w:t>, at para 3</w:t>
      </w:r>
    </w:p>
    <w:p w14:paraId="16871DAC" w14:textId="77777777" w:rsidR="00F40832" w:rsidRPr="001B3304" w:rsidRDefault="00F40832" w:rsidP="003E1822">
      <w:pPr>
        <w:pStyle w:val="NoSpacing"/>
        <w:rPr>
          <w:szCs w:val="24"/>
        </w:rPr>
      </w:pPr>
    </w:p>
    <w:p w14:paraId="3B8D86BE" w14:textId="7EB8F69A" w:rsidR="00D77D67" w:rsidRPr="001B3304" w:rsidRDefault="00D77D67" w:rsidP="003E1822">
      <w:pPr>
        <w:pStyle w:val="NoSpacing"/>
        <w:rPr>
          <w:szCs w:val="24"/>
          <w:lang w:val="en-CA"/>
        </w:rPr>
      </w:pPr>
      <w:r w:rsidRPr="001B3304">
        <w:rPr>
          <w:szCs w:val="24"/>
          <w:lang w:val="en-CA"/>
        </w:rPr>
        <w:t xml:space="preserve">Courts have “generally refused to put the defence of honest but mistaken belief in consent to a jury when the accused clearly bases his defence on voluntary consent and he also testifies that the complainant was an active, eager or willing partner whereas the complainant testifies that she had vigorously resisted. In such cases, the question is generally simply of credibility of consent or no consent:” </w:t>
      </w:r>
      <w:r w:rsidRPr="001B3304">
        <w:rPr>
          <w:i/>
          <w:iCs/>
          <w:szCs w:val="24"/>
          <w:lang w:val="en-CA"/>
        </w:rPr>
        <w:t xml:space="preserve">R v LT, </w:t>
      </w:r>
      <w:hyperlink r:id="rId167" w:history="1">
        <w:r w:rsidRPr="001B3304">
          <w:rPr>
            <w:rStyle w:val="Hyperlink"/>
            <w:szCs w:val="24"/>
            <w:lang w:val="en-CA"/>
          </w:rPr>
          <w:t>2019 ONCA 535</w:t>
        </w:r>
      </w:hyperlink>
      <w:r w:rsidRPr="001B3304">
        <w:rPr>
          <w:szCs w:val="24"/>
          <w:lang w:val="en-CA"/>
        </w:rPr>
        <w:t xml:space="preserve">, at para 5 (citation omitted) </w:t>
      </w:r>
    </w:p>
    <w:p w14:paraId="1E300D9D" w14:textId="77777777" w:rsidR="00F40832" w:rsidRPr="001B3304" w:rsidRDefault="00F40832" w:rsidP="003E1822">
      <w:pPr>
        <w:spacing w:before="100" w:beforeAutospacing="1" w:after="100" w:afterAutospacing="1" w:line="276" w:lineRule="auto"/>
        <w:jc w:val="both"/>
        <w:rPr>
          <w:rFonts w:ascii="Arial" w:hAnsi="Arial" w:cs="Arial"/>
        </w:rPr>
      </w:pPr>
    </w:p>
    <w:p w14:paraId="649279C5" w14:textId="77777777" w:rsidR="00097034" w:rsidRPr="001B3304" w:rsidRDefault="00097034" w:rsidP="004358F8">
      <w:pPr>
        <w:pStyle w:val="Heading3"/>
      </w:pPr>
      <w:bookmarkStart w:id="93" w:name="_Toc134294131"/>
      <w:proofErr w:type="spellStart"/>
      <w:r w:rsidRPr="001B3304">
        <w:lastRenderedPageBreak/>
        <w:t>Defence</w:t>
      </w:r>
      <w:proofErr w:type="spellEnd"/>
      <w:r w:rsidRPr="001B3304">
        <w:t xml:space="preserve"> of </w:t>
      </w:r>
      <w:proofErr w:type="spellStart"/>
      <w:r w:rsidRPr="001B3304">
        <w:t>Sexsomnia</w:t>
      </w:r>
      <w:bookmarkEnd w:id="93"/>
      <w:proofErr w:type="spellEnd"/>
    </w:p>
    <w:p w14:paraId="62566D6E" w14:textId="77777777" w:rsidR="00097034" w:rsidRPr="001B3304" w:rsidRDefault="00097034" w:rsidP="003E1822">
      <w:pPr>
        <w:spacing w:before="100" w:beforeAutospacing="1" w:after="100" w:afterAutospacing="1" w:line="276" w:lineRule="auto"/>
        <w:jc w:val="both"/>
        <w:rPr>
          <w:rFonts w:ascii="Arial" w:hAnsi="Arial" w:cs="Arial"/>
        </w:rPr>
      </w:pPr>
      <w:r w:rsidRPr="001B3304">
        <w:rPr>
          <w:rFonts w:ascii="Arial" w:hAnsi="Arial" w:cs="Arial"/>
          <w:color w:val="8B0000"/>
        </w:rPr>
        <w:t>​</w:t>
      </w:r>
      <w:r w:rsidRPr="001B3304">
        <w:rPr>
          <w:rFonts w:ascii="Arial" w:hAnsi="Arial" w:cs="Arial"/>
        </w:rPr>
        <w:t xml:space="preserve">See </w:t>
      </w:r>
      <w:r w:rsidRPr="001B3304">
        <w:rPr>
          <w:rFonts w:ascii="Arial" w:hAnsi="Arial" w:cs="Arial"/>
          <w:i/>
          <w:iCs/>
        </w:rPr>
        <w:t>R v Hartman</w:t>
      </w:r>
      <w:r w:rsidRPr="001B3304">
        <w:rPr>
          <w:rFonts w:ascii="Arial" w:hAnsi="Arial" w:cs="Arial"/>
        </w:rPr>
        <w:t xml:space="preserve">, </w:t>
      </w:r>
      <w:r w:rsidRPr="001B3304">
        <w:rPr>
          <w:rFonts w:ascii="Arial" w:hAnsi="Arial" w:cs="Arial"/>
          <w:u w:val="single"/>
        </w:rPr>
        <w:t>2015 ONCA 498</w:t>
      </w:r>
    </w:p>
    <w:p w14:paraId="28B10043" w14:textId="77777777" w:rsidR="00097034" w:rsidRPr="001B3304" w:rsidRDefault="00097034" w:rsidP="003E1822">
      <w:pPr>
        <w:spacing w:before="100" w:beforeAutospacing="1" w:after="100" w:afterAutospacing="1" w:line="276" w:lineRule="auto"/>
        <w:jc w:val="both"/>
        <w:rPr>
          <w:rFonts w:ascii="Arial" w:hAnsi="Arial" w:cs="Arial"/>
        </w:rPr>
      </w:pPr>
      <w:r w:rsidRPr="001B3304">
        <w:rPr>
          <w:rFonts w:ascii="Arial" w:hAnsi="Arial" w:cs="Arial"/>
        </w:rPr>
        <w:t>​</w:t>
      </w:r>
    </w:p>
    <w:p w14:paraId="2963C203" w14:textId="77777777" w:rsidR="00097034" w:rsidRPr="001B3304" w:rsidRDefault="00097034" w:rsidP="004358F8">
      <w:pPr>
        <w:pStyle w:val="Heading3"/>
      </w:pPr>
      <w:bookmarkStart w:id="94" w:name="_Toc134294132"/>
      <w:r w:rsidRPr="001B3304">
        <w:t>Delayed Disclosure</w:t>
      </w:r>
      <w:bookmarkEnd w:id="94"/>
    </w:p>
    <w:p w14:paraId="7316C55A" w14:textId="58A024AB" w:rsidR="00097034" w:rsidRPr="001B3304" w:rsidRDefault="00097034" w:rsidP="003E1822">
      <w:pPr>
        <w:spacing w:before="100" w:beforeAutospacing="1" w:after="100" w:afterAutospacing="1" w:line="276" w:lineRule="auto"/>
        <w:jc w:val="both"/>
        <w:rPr>
          <w:rFonts w:ascii="Arial" w:hAnsi="Arial" w:cs="Arial"/>
        </w:rPr>
      </w:pPr>
      <w:r w:rsidRPr="001B3304">
        <w:rPr>
          <w:rFonts w:ascii="Arial" w:hAnsi="Arial" w:cs="Arial"/>
        </w:rPr>
        <w:t>​For a discussion on the significance of delayed disclosure in sexual assault cases, see </w:t>
      </w:r>
      <w:r w:rsidRPr="001B3304">
        <w:rPr>
          <w:rFonts w:ascii="Arial" w:hAnsi="Arial" w:cs="Arial"/>
          <w:i/>
          <w:iCs/>
        </w:rPr>
        <w:t>R v DD,</w:t>
      </w:r>
      <w:r w:rsidRPr="001B3304">
        <w:rPr>
          <w:rFonts w:ascii="Arial" w:hAnsi="Arial" w:cs="Arial"/>
        </w:rPr>
        <w:t xml:space="preserve"> </w:t>
      </w:r>
      <w:r w:rsidRPr="001B3304">
        <w:rPr>
          <w:rFonts w:ascii="Arial" w:hAnsi="Arial" w:cs="Arial"/>
          <w:u w:val="single"/>
        </w:rPr>
        <w:t>2000 SCC 43</w:t>
      </w:r>
      <w:r w:rsidRPr="001B3304">
        <w:rPr>
          <w:rFonts w:ascii="Arial" w:hAnsi="Arial" w:cs="Arial"/>
        </w:rPr>
        <w:t>; see also </w:t>
      </w:r>
      <w:r w:rsidRPr="001B3304">
        <w:rPr>
          <w:rFonts w:ascii="Arial" w:hAnsi="Arial" w:cs="Arial"/>
          <w:i/>
          <w:iCs/>
        </w:rPr>
        <w:t>R v DP, </w:t>
      </w:r>
      <w:r w:rsidRPr="001B3304">
        <w:rPr>
          <w:rFonts w:ascii="Arial" w:hAnsi="Arial" w:cs="Arial"/>
          <w:u w:val="single"/>
        </w:rPr>
        <w:t>2017 ONCA 263</w:t>
      </w:r>
      <w:r w:rsidRPr="001B3304">
        <w:rPr>
          <w:rFonts w:ascii="Arial" w:hAnsi="Arial" w:cs="Arial"/>
        </w:rPr>
        <w:t xml:space="preserve"> at paras 28-31</w:t>
      </w:r>
    </w:p>
    <w:p w14:paraId="12AB9E4C" w14:textId="77777777" w:rsidR="00777315" w:rsidRPr="001B3304" w:rsidRDefault="00777315" w:rsidP="003E1822">
      <w:pPr>
        <w:spacing w:before="100" w:beforeAutospacing="1" w:after="100" w:afterAutospacing="1" w:line="276" w:lineRule="auto"/>
        <w:jc w:val="both"/>
        <w:rPr>
          <w:rFonts w:ascii="Arial" w:hAnsi="Arial" w:cs="Arial"/>
        </w:rPr>
      </w:pPr>
    </w:p>
    <w:p w14:paraId="1361B50E" w14:textId="72F03D68" w:rsidR="007B2DED" w:rsidRPr="001B3304" w:rsidRDefault="007B2DED" w:rsidP="004358F8">
      <w:pPr>
        <w:pStyle w:val="Heading3"/>
      </w:pPr>
      <w:bookmarkStart w:id="95" w:name="_Toc134294133"/>
      <w:r w:rsidRPr="001B3304">
        <w:t>Indigenous Victims</w:t>
      </w:r>
      <w:bookmarkEnd w:id="95"/>
    </w:p>
    <w:p w14:paraId="01AC34CA" w14:textId="051F3C84" w:rsidR="007B2DED" w:rsidRPr="001B3304" w:rsidRDefault="007B2DED" w:rsidP="003E1822">
      <w:pPr>
        <w:pStyle w:val="NoSpacing"/>
        <w:rPr>
          <w:szCs w:val="24"/>
        </w:rPr>
      </w:pPr>
      <w:r w:rsidRPr="001B3304">
        <w:rPr>
          <w:szCs w:val="24"/>
        </w:rPr>
        <w:t xml:space="preserve">In </w:t>
      </w:r>
      <w:r w:rsidRPr="001B3304">
        <w:rPr>
          <w:i/>
          <w:iCs/>
          <w:szCs w:val="24"/>
        </w:rPr>
        <w:t xml:space="preserve">Barton, </w:t>
      </w:r>
      <w:r w:rsidRPr="001B3304">
        <w:rPr>
          <w:szCs w:val="24"/>
        </w:rPr>
        <w:t xml:space="preserve">the Supreme Court of Canada held that, in sexual assault cases where the complainant is an Indigenous woman or girl, trial judges would be well advised to provide an express instruction aimed at countering prejudice against Indigenous women and girls. The Court went on to caution, however, that any such instruction must not privilege the rights of the complainant over those of the accused. The objective would be to identify specific biases, prejudices, and stereotypes that may reasonably be expected to arise in the particular case and attempt to remove them from the jury’s deliberative process in a fair, balanced way, without prejudicing the accused: </w:t>
      </w:r>
      <w:r w:rsidRPr="001B3304">
        <w:rPr>
          <w:i/>
          <w:iCs/>
          <w:szCs w:val="24"/>
        </w:rPr>
        <w:t xml:space="preserve">R v Barton, </w:t>
      </w:r>
      <w:hyperlink r:id="rId168" w:history="1">
        <w:r w:rsidRPr="001B3304">
          <w:rPr>
            <w:rStyle w:val="Hyperlink"/>
            <w:szCs w:val="24"/>
          </w:rPr>
          <w:t>2019 SCC 33</w:t>
        </w:r>
      </w:hyperlink>
    </w:p>
    <w:p w14:paraId="4BB47251" w14:textId="77777777" w:rsidR="00097034" w:rsidRPr="001B3304" w:rsidRDefault="00097034" w:rsidP="003E1822">
      <w:pPr>
        <w:spacing w:before="100" w:beforeAutospacing="1" w:after="100" w:afterAutospacing="1" w:line="276" w:lineRule="auto"/>
        <w:jc w:val="both"/>
        <w:rPr>
          <w:rFonts w:ascii="Arial" w:hAnsi="Arial" w:cs="Arial"/>
        </w:rPr>
      </w:pPr>
    </w:p>
    <w:p w14:paraId="5AE1C94D" w14:textId="5D62015E" w:rsidR="00C765DB" w:rsidRPr="001B3304" w:rsidRDefault="00C765DB" w:rsidP="003E1822">
      <w:pPr>
        <w:pStyle w:val="Heading2"/>
        <w:spacing w:line="276" w:lineRule="auto"/>
      </w:pPr>
      <w:bookmarkStart w:id="96" w:name="_Toc134294134"/>
      <w:r w:rsidRPr="001B3304">
        <w:t>Forcible Confinement: s.279(2)</w:t>
      </w:r>
      <w:bookmarkEnd w:id="96"/>
    </w:p>
    <w:p w14:paraId="22F47AA6" w14:textId="77777777" w:rsidR="00C765DB" w:rsidRPr="001B3304" w:rsidRDefault="00C765DB" w:rsidP="003E1822">
      <w:pPr>
        <w:spacing w:line="276" w:lineRule="auto"/>
        <w:rPr>
          <w:rFonts w:ascii="Arial" w:hAnsi="Arial" w:cs="Arial"/>
        </w:rPr>
      </w:pPr>
    </w:p>
    <w:p w14:paraId="01C2DA2B" w14:textId="6752F40C" w:rsidR="00C765DB" w:rsidRPr="001B3304" w:rsidRDefault="00C765DB" w:rsidP="003E1822">
      <w:pPr>
        <w:pStyle w:val="NoSpacing"/>
        <w:rPr>
          <w:szCs w:val="24"/>
        </w:rPr>
      </w:pPr>
      <w:r w:rsidRPr="001B3304">
        <w:rPr>
          <w:szCs w:val="24"/>
        </w:rPr>
        <w:t xml:space="preserve">Forcible confinement occurs where, for any significant length of time, the victim is coercively restrained contrary to her wishes so that she could “not move about according to her own inclination and desire”: </w:t>
      </w:r>
      <w:r w:rsidRPr="001B3304">
        <w:rPr>
          <w:i/>
          <w:iCs/>
          <w:szCs w:val="24"/>
        </w:rPr>
        <w:t xml:space="preserve">R v Smith, </w:t>
      </w:r>
      <w:r w:rsidRPr="001B3304">
        <w:rPr>
          <w:szCs w:val="24"/>
          <w:u w:val="single"/>
        </w:rPr>
        <w:t>2015 ONCA 831</w:t>
      </w:r>
      <w:r w:rsidRPr="001B3304">
        <w:rPr>
          <w:i/>
          <w:iCs/>
          <w:szCs w:val="24"/>
        </w:rPr>
        <w:t> </w:t>
      </w:r>
      <w:r w:rsidRPr="001B3304">
        <w:rPr>
          <w:szCs w:val="24"/>
        </w:rPr>
        <w:t>at para 11; </w:t>
      </w:r>
      <w:r w:rsidRPr="001B3304">
        <w:rPr>
          <w:i/>
          <w:iCs/>
          <w:szCs w:val="24"/>
        </w:rPr>
        <w:t>R v KM, </w:t>
      </w:r>
      <w:r w:rsidRPr="001B3304">
        <w:rPr>
          <w:szCs w:val="24"/>
          <w:u w:val="single"/>
        </w:rPr>
        <w:t>2016 ONCA 347</w:t>
      </w:r>
      <w:r w:rsidRPr="001B3304">
        <w:rPr>
          <w:szCs w:val="24"/>
        </w:rPr>
        <w:t xml:space="preserve"> at para 15; </w:t>
      </w:r>
      <w:r w:rsidRPr="001B3304">
        <w:rPr>
          <w:i/>
          <w:iCs/>
          <w:szCs w:val="24"/>
        </w:rPr>
        <w:t xml:space="preserve">R v </w:t>
      </w:r>
      <w:proofErr w:type="spellStart"/>
      <w:r w:rsidRPr="001B3304">
        <w:rPr>
          <w:i/>
          <w:iCs/>
          <w:szCs w:val="24"/>
        </w:rPr>
        <w:t>McIlmoyle</w:t>
      </w:r>
      <w:proofErr w:type="spellEnd"/>
      <w:r w:rsidRPr="001B3304">
        <w:rPr>
          <w:i/>
          <w:iCs/>
          <w:szCs w:val="24"/>
        </w:rPr>
        <w:t>, </w:t>
      </w:r>
      <w:r w:rsidRPr="001B3304">
        <w:rPr>
          <w:szCs w:val="24"/>
          <w:u w:val="single"/>
        </w:rPr>
        <w:t>2016 ONCA 505</w:t>
      </w:r>
      <w:r w:rsidRPr="001B3304">
        <w:rPr>
          <w:szCs w:val="24"/>
        </w:rPr>
        <w:t xml:space="preserve"> at para 10</w:t>
      </w:r>
    </w:p>
    <w:p w14:paraId="74695D3A" w14:textId="092A775B" w:rsidR="00B802E8" w:rsidRPr="001B3304" w:rsidRDefault="00B802E8" w:rsidP="003E1822">
      <w:pPr>
        <w:pStyle w:val="NoSpacing"/>
        <w:rPr>
          <w:szCs w:val="24"/>
        </w:rPr>
      </w:pPr>
    </w:p>
    <w:p w14:paraId="1CA11A4E" w14:textId="77777777" w:rsidR="00AC1C19" w:rsidRPr="001B3304" w:rsidRDefault="00B802E8" w:rsidP="00AC1C19">
      <w:pPr>
        <w:pStyle w:val="NoSpacing"/>
        <w:rPr>
          <w:szCs w:val="24"/>
          <w:lang w:val="en-CA"/>
        </w:rPr>
      </w:pPr>
      <w:r w:rsidRPr="001B3304">
        <w:rPr>
          <w:szCs w:val="24"/>
          <w:lang w:val="en-CA"/>
        </w:rPr>
        <w:t xml:space="preserve">In </w:t>
      </w:r>
      <w:r w:rsidRPr="001B3304">
        <w:rPr>
          <w:i/>
          <w:szCs w:val="24"/>
          <w:lang w:val="en-CA"/>
        </w:rPr>
        <w:t xml:space="preserve">Palmer-Coke, </w:t>
      </w:r>
      <w:r w:rsidRPr="001B3304">
        <w:rPr>
          <w:szCs w:val="24"/>
          <w:lang w:val="en-CA"/>
        </w:rPr>
        <w:t xml:space="preserve">the Court of Appeal vacated a conviction for unlawful confinement where “the element of restraint that resulted from the appellant grabbing the complainant by her hair was momentary in nature. It was not for “any significant period of time:” </w:t>
      </w:r>
      <w:hyperlink r:id="rId169" w:history="1">
        <w:r w:rsidRPr="001B3304">
          <w:rPr>
            <w:rStyle w:val="Hyperlink"/>
            <w:szCs w:val="24"/>
            <w:lang w:val="en-CA"/>
          </w:rPr>
          <w:t>2019 ONCA 106</w:t>
        </w:r>
      </w:hyperlink>
      <w:r w:rsidRPr="001B3304">
        <w:rPr>
          <w:szCs w:val="24"/>
          <w:lang w:val="en-CA"/>
        </w:rPr>
        <w:t>, at para 31</w:t>
      </w:r>
    </w:p>
    <w:p w14:paraId="71C64BC6" w14:textId="13BB4C2C" w:rsidR="00AC1C19" w:rsidRPr="001B3304" w:rsidRDefault="003621BE" w:rsidP="003621BE">
      <w:pPr>
        <w:pStyle w:val="NoSpacing"/>
        <w:rPr>
          <w:szCs w:val="24"/>
        </w:rPr>
      </w:pPr>
      <w:r w:rsidRPr="001B3304">
        <w:rPr>
          <w:szCs w:val="24"/>
          <w:lang w:val="en-CA"/>
        </w:rPr>
        <w:lastRenderedPageBreak/>
        <w:t>f</w:t>
      </w:r>
      <w:r w:rsidR="00AC1C19" w:rsidRPr="001B3304">
        <w:rPr>
          <w:szCs w:val="24"/>
        </w:rPr>
        <w:t xml:space="preserve">The “lawful authority” </w:t>
      </w:r>
      <w:proofErr w:type="spellStart"/>
      <w:r w:rsidR="00AC1C19" w:rsidRPr="001B3304">
        <w:rPr>
          <w:szCs w:val="24"/>
        </w:rPr>
        <w:t>defence</w:t>
      </w:r>
      <w:proofErr w:type="spellEnd"/>
      <w:r w:rsidR="00AC1C19" w:rsidRPr="001B3304">
        <w:rPr>
          <w:szCs w:val="24"/>
        </w:rPr>
        <w:t xml:space="preserve"> at s. 279(2) in cases involving parents and their children recognizes that parents are entitled, if not obligated, by virtue of their parental duties and responsibilities to confine their children in the best interests of the children. The “lawful authority” </w:t>
      </w:r>
      <w:proofErr w:type="spellStart"/>
      <w:r w:rsidR="00AC1C19" w:rsidRPr="001B3304">
        <w:rPr>
          <w:szCs w:val="24"/>
        </w:rPr>
        <w:t>defence</w:t>
      </w:r>
      <w:proofErr w:type="spellEnd"/>
      <w:r w:rsidR="00AC1C19" w:rsidRPr="001B3304">
        <w:rPr>
          <w:szCs w:val="24"/>
        </w:rPr>
        <w:t xml:space="preserve"> however extends only to conduct which is a reasonable exercise of parental authority done in furtherance of parental duties and responsibilities. Parental conduct that is abusive, harmful to the child, degrading or otherwise beyond the bounds of acceptable parenting cannot shelter under the lawful authority </w:t>
      </w:r>
      <w:proofErr w:type="spellStart"/>
      <w:r w:rsidR="00AC1C19" w:rsidRPr="001B3304">
        <w:rPr>
          <w:szCs w:val="24"/>
        </w:rPr>
        <w:t>defence</w:t>
      </w:r>
      <w:proofErr w:type="spellEnd"/>
      <w:r w:rsidRPr="001B3304">
        <w:rPr>
          <w:szCs w:val="24"/>
        </w:rPr>
        <w:t>.</w:t>
      </w:r>
    </w:p>
    <w:p w14:paraId="7F3F1B08" w14:textId="77777777" w:rsidR="003621BE" w:rsidRPr="001B3304" w:rsidRDefault="003621BE" w:rsidP="003621BE">
      <w:pPr>
        <w:pStyle w:val="NoSpacing"/>
        <w:rPr>
          <w:szCs w:val="24"/>
        </w:rPr>
      </w:pPr>
    </w:p>
    <w:p w14:paraId="5F55DC72" w14:textId="3222CD0B" w:rsidR="00AC1C19" w:rsidRPr="001B3304" w:rsidRDefault="00AC1C19" w:rsidP="003621BE">
      <w:pPr>
        <w:pStyle w:val="NoSpacing"/>
        <w:rPr>
          <w:szCs w:val="24"/>
        </w:rPr>
      </w:pPr>
      <w:r w:rsidRPr="001B3304">
        <w:rPr>
          <w:szCs w:val="24"/>
        </w:rPr>
        <w:t xml:space="preserve">It flows from the focus on the reasonableness of the parental exercise of authority that the “lawful authority” </w:t>
      </w:r>
      <w:proofErr w:type="spellStart"/>
      <w:r w:rsidRPr="001B3304">
        <w:rPr>
          <w:szCs w:val="24"/>
        </w:rPr>
        <w:t>defence</w:t>
      </w:r>
      <w:proofErr w:type="spellEnd"/>
      <w:r w:rsidRPr="001B3304">
        <w:rPr>
          <w:szCs w:val="24"/>
        </w:rPr>
        <w:t xml:space="preserve"> in s. 279(2) as applied in the parent/child situation must address not only the reason behind the confinement but also the factual context in which the confinement occurs. The court must consider the purpose, nature, and extent of the confinement in determining whether that confinement was a lawful exercise of parental authority over the chil</w:t>
      </w:r>
      <w:r w:rsidR="003621BE" w:rsidRPr="001B3304">
        <w:rPr>
          <w:szCs w:val="24"/>
        </w:rPr>
        <w:t>d.</w:t>
      </w:r>
    </w:p>
    <w:p w14:paraId="7C20DC95" w14:textId="77777777" w:rsidR="003621BE" w:rsidRPr="001B3304" w:rsidRDefault="003621BE" w:rsidP="003621BE">
      <w:pPr>
        <w:pStyle w:val="NoSpacing"/>
        <w:rPr>
          <w:szCs w:val="24"/>
        </w:rPr>
      </w:pPr>
    </w:p>
    <w:p w14:paraId="3D318625" w14:textId="78C7194D" w:rsidR="00B802E8" w:rsidRPr="001B3304" w:rsidRDefault="00AC1C19" w:rsidP="003E1822">
      <w:pPr>
        <w:pStyle w:val="NoSpacing"/>
        <w:rPr>
          <w:szCs w:val="24"/>
        </w:rPr>
      </w:pPr>
      <w:r w:rsidRPr="001B3304">
        <w:rPr>
          <w:szCs w:val="24"/>
        </w:rPr>
        <w:t xml:space="preserve">The parents’ reason for imposing the restraint on the child’s liberty will be a key consideration. It is not however, the only relevant consideration. Other factors such as the location, manner, and duration of the confinement will also be potentially relevant, as no doubt will other considerations: </w:t>
      </w:r>
      <w:r w:rsidRPr="001B3304">
        <w:rPr>
          <w:rFonts w:eastAsia="Times New Roman"/>
          <w:i/>
          <w:iCs/>
          <w:szCs w:val="24"/>
          <w:lang w:val="en-CA"/>
        </w:rPr>
        <w:t>R. v. Magoon</w:t>
      </w:r>
      <w:r w:rsidRPr="001B3304">
        <w:rPr>
          <w:rFonts w:eastAsia="Times New Roman"/>
          <w:szCs w:val="24"/>
          <w:lang w:val="en-CA"/>
        </w:rPr>
        <w:t>, 2018 SCC 14, at para</w:t>
      </w:r>
      <w:r w:rsidRPr="001B3304">
        <w:rPr>
          <w:szCs w:val="24"/>
        </w:rPr>
        <w:t xml:space="preserve">s 64-68; </w:t>
      </w:r>
      <w:r w:rsidRPr="001B3304">
        <w:rPr>
          <w:i/>
          <w:iCs/>
          <w:szCs w:val="24"/>
        </w:rPr>
        <w:t xml:space="preserve">R v CO, </w:t>
      </w:r>
      <w:hyperlink r:id="rId170" w:history="1">
        <w:r w:rsidRPr="001B3304">
          <w:rPr>
            <w:rStyle w:val="Hyperlink"/>
            <w:szCs w:val="24"/>
          </w:rPr>
          <w:t>2022 ONCA 103</w:t>
        </w:r>
      </w:hyperlink>
      <w:r w:rsidRPr="001B3304">
        <w:rPr>
          <w:szCs w:val="24"/>
        </w:rPr>
        <w:t>, at paras 21-22</w:t>
      </w:r>
      <w:r w:rsidR="003621BE" w:rsidRPr="001B3304">
        <w:rPr>
          <w:szCs w:val="24"/>
        </w:rPr>
        <w:t>, 35-37</w:t>
      </w:r>
    </w:p>
    <w:p w14:paraId="2AC12ADB" w14:textId="231A4A95" w:rsidR="00547A26" w:rsidRPr="001B3304" w:rsidRDefault="00F038B9" w:rsidP="003E1822">
      <w:pPr>
        <w:pStyle w:val="Heading2"/>
        <w:spacing w:line="276" w:lineRule="auto"/>
      </w:pPr>
      <w:bookmarkStart w:id="97" w:name="_Toc134294135"/>
      <w:r w:rsidRPr="001B3304">
        <w:t>Human Trafficking: s.279.01</w:t>
      </w:r>
      <w:bookmarkEnd w:id="97"/>
    </w:p>
    <w:p w14:paraId="4BD483FF" w14:textId="77777777" w:rsidR="00777315" w:rsidRPr="001B3304" w:rsidRDefault="00777315" w:rsidP="003E1822">
      <w:pPr>
        <w:pStyle w:val="NoSpacing"/>
        <w:rPr>
          <w:szCs w:val="24"/>
        </w:rPr>
      </w:pPr>
    </w:p>
    <w:p w14:paraId="02C385EE" w14:textId="7B42C6E0" w:rsidR="00F038B9" w:rsidRPr="001B3304" w:rsidRDefault="00F038B9" w:rsidP="003E1822">
      <w:pPr>
        <w:pStyle w:val="NoSpacing"/>
        <w:rPr>
          <w:szCs w:val="24"/>
        </w:rPr>
      </w:pPr>
      <w:r w:rsidRPr="001B3304">
        <w:rPr>
          <w:szCs w:val="24"/>
        </w:rPr>
        <w:t>The Crown must establish beyond a reasonable doubt two elements to make out the offence of human trafficking. First, it must prove that the accused did anything that satisfies the conduct requirement set out in s. 279.01(1) in relation to a person. Second, it must prove that the accused intended to do anything that satisfies the conduct requirement, and that the accused acted with the purpose of exploiting or facilitating the exploitation of that person: </w:t>
      </w:r>
      <w:r w:rsidRPr="001B3304">
        <w:rPr>
          <w:i/>
          <w:iCs/>
          <w:szCs w:val="24"/>
        </w:rPr>
        <w:t xml:space="preserve">R v </w:t>
      </w:r>
      <w:proofErr w:type="spellStart"/>
      <w:r w:rsidRPr="001B3304">
        <w:rPr>
          <w:i/>
          <w:iCs/>
          <w:szCs w:val="24"/>
        </w:rPr>
        <w:t>Gallone</w:t>
      </w:r>
      <w:proofErr w:type="spellEnd"/>
      <w:r w:rsidRPr="001B3304">
        <w:rPr>
          <w:i/>
          <w:iCs/>
          <w:szCs w:val="24"/>
        </w:rPr>
        <w:t xml:space="preserve">, </w:t>
      </w:r>
      <w:hyperlink r:id="rId171" w:history="1">
        <w:r w:rsidRPr="001B3304">
          <w:rPr>
            <w:rStyle w:val="Hyperlink"/>
            <w:szCs w:val="24"/>
          </w:rPr>
          <w:t>2019 ONCA 663</w:t>
        </w:r>
      </w:hyperlink>
      <w:r w:rsidRPr="001B3304">
        <w:rPr>
          <w:szCs w:val="24"/>
        </w:rPr>
        <w:t>, at para 17</w:t>
      </w:r>
    </w:p>
    <w:p w14:paraId="472564D3" w14:textId="0099DAF5" w:rsidR="00F038B9" w:rsidRPr="001B3304" w:rsidRDefault="00F038B9" w:rsidP="003E1822">
      <w:pPr>
        <w:pStyle w:val="NoSpacing"/>
        <w:rPr>
          <w:szCs w:val="24"/>
        </w:rPr>
      </w:pPr>
    </w:p>
    <w:p w14:paraId="5982C959" w14:textId="36143FCE" w:rsidR="00F038B9" w:rsidRPr="001B3304" w:rsidRDefault="00F038B9" w:rsidP="003E1822">
      <w:pPr>
        <w:pStyle w:val="NoSpacing"/>
        <w:rPr>
          <w:szCs w:val="24"/>
        </w:rPr>
      </w:pPr>
      <w:r w:rsidRPr="001B3304">
        <w:rPr>
          <w:szCs w:val="24"/>
        </w:rPr>
        <w:t>A finding of actual exploitation is not an essential element of the offence. The Crown need only prove that the accused intentionally engaged in any of the conduct described in s. 279.01(1) with the </w:t>
      </w:r>
      <w:r w:rsidRPr="001B3304">
        <w:rPr>
          <w:szCs w:val="24"/>
          <w:u w:val="single"/>
        </w:rPr>
        <w:t>purpose</w:t>
      </w:r>
      <w:r w:rsidRPr="001B3304">
        <w:rPr>
          <w:szCs w:val="24"/>
        </w:rPr>
        <w:t> of exploiting the complainant or facilitating her or his exploitation. No exploitation need actually occur or be facilitated by the accused’s conduct. The focus of this element is on the accused’s state of mind – </w:t>
      </w:r>
      <w:r w:rsidRPr="001B3304">
        <w:rPr>
          <w:i/>
          <w:iCs/>
          <w:szCs w:val="24"/>
        </w:rPr>
        <w:t>i.e. </w:t>
      </w:r>
      <w:r w:rsidRPr="001B3304">
        <w:rPr>
          <w:szCs w:val="24"/>
        </w:rPr>
        <w:t xml:space="preserve">his or her purpose in engaging in the prohibited conduct – and </w:t>
      </w:r>
      <w:r w:rsidRPr="001B3304">
        <w:rPr>
          <w:szCs w:val="24"/>
        </w:rPr>
        <w:lastRenderedPageBreak/>
        <w:t>not on the actual consequences of his or her conduct for the complainant: </w:t>
      </w:r>
      <w:r w:rsidRPr="001B3304">
        <w:rPr>
          <w:i/>
          <w:iCs/>
          <w:szCs w:val="24"/>
        </w:rPr>
        <w:t xml:space="preserve">R v </w:t>
      </w:r>
      <w:proofErr w:type="spellStart"/>
      <w:r w:rsidRPr="001B3304">
        <w:rPr>
          <w:i/>
          <w:iCs/>
          <w:szCs w:val="24"/>
        </w:rPr>
        <w:t>Gallone</w:t>
      </w:r>
      <w:proofErr w:type="spellEnd"/>
      <w:r w:rsidRPr="001B3304">
        <w:rPr>
          <w:i/>
          <w:iCs/>
          <w:szCs w:val="24"/>
        </w:rPr>
        <w:t xml:space="preserve">, </w:t>
      </w:r>
      <w:hyperlink r:id="rId172" w:anchor="_ftnref1" w:history="1">
        <w:r w:rsidRPr="001B3304">
          <w:rPr>
            <w:rStyle w:val="Hyperlink"/>
            <w:szCs w:val="24"/>
          </w:rPr>
          <w:t>2019 ONCA 663</w:t>
        </w:r>
      </w:hyperlink>
      <w:r w:rsidRPr="001B3304">
        <w:rPr>
          <w:szCs w:val="24"/>
        </w:rPr>
        <w:t>, at para 54</w:t>
      </w:r>
    </w:p>
    <w:p w14:paraId="7DC9B683" w14:textId="3E6BC8B6" w:rsidR="00F038B9" w:rsidRPr="001B3304" w:rsidRDefault="00F038B9" w:rsidP="003E1822">
      <w:pPr>
        <w:pStyle w:val="NoSpacing"/>
        <w:rPr>
          <w:szCs w:val="24"/>
        </w:rPr>
      </w:pPr>
    </w:p>
    <w:p w14:paraId="33C940C6" w14:textId="71642413" w:rsidR="00F038B9" w:rsidRPr="001B3304" w:rsidRDefault="00F038B9" w:rsidP="003E1822">
      <w:pPr>
        <w:pStyle w:val="NoSpacing"/>
        <w:rPr>
          <w:szCs w:val="24"/>
        </w:rPr>
      </w:pPr>
      <w:r w:rsidRPr="001B3304">
        <w:rPr>
          <w:szCs w:val="24"/>
        </w:rPr>
        <w:t xml:space="preserve">The various modes in which someone may commit the offence of human trafficking are disjunctive. Thus, the conduct requirement is made out if the accused engaged in any one of the specified types of conduct: </w:t>
      </w:r>
      <w:r w:rsidRPr="001B3304">
        <w:rPr>
          <w:i/>
          <w:iCs/>
          <w:szCs w:val="24"/>
        </w:rPr>
        <w:t xml:space="preserve">R v </w:t>
      </w:r>
      <w:proofErr w:type="spellStart"/>
      <w:r w:rsidRPr="001B3304">
        <w:rPr>
          <w:i/>
          <w:iCs/>
          <w:szCs w:val="24"/>
        </w:rPr>
        <w:t>Gallone</w:t>
      </w:r>
      <w:proofErr w:type="spellEnd"/>
      <w:r w:rsidRPr="001B3304">
        <w:rPr>
          <w:i/>
          <w:iCs/>
          <w:szCs w:val="24"/>
        </w:rPr>
        <w:t xml:space="preserve">, </w:t>
      </w:r>
      <w:hyperlink r:id="rId173" w:anchor="_ftnref1" w:history="1">
        <w:r w:rsidRPr="001B3304">
          <w:rPr>
            <w:rStyle w:val="Hyperlink"/>
            <w:szCs w:val="24"/>
          </w:rPr>
          <w:t>2019 ONCA 663</w:t>
        </w:r>
      </w:hyperlink>
      <w:r w:rsidRPr="001B3304">
        <w:rPr>
          <w:szCs w:val="24"/>
        </w:rPr>
        <w:t xml:space="preserve">, at para 33 </w:t>
      </w:r>
    </w:p>
    <w:p w14:paraId="4AC6B8E1" w14:textId="77777777" w:rsidR="00F038B9" w:rsidRPr="001B3304" w:rsidRDefault="00F038B9" w:rsidP="003E1822">
      <w:pPr>
        <w:spacing w:line="276" w:lineRule="auto"/>
        <w:rPr>
          <w:rFonts w:ascii="Arial" w:hAnsi="Arial" w:cs="Arial"/>
        </w:rPr>
      </w:pPr>
    </w:p>
    <w:p w14:paraId="733448D9" w14:textId="6E2271A5" w:rsidR="00F038B9" w:rsidRPr="001B3304" w:rsidRDefault="00F038B9" w:rsidP="003E1822">
      <w:pPr>
        <w:pStyle w:val="NoSpacing"/>
        <w:rPr>
          <w:szCs w:val="24"/>
        </w:rPr>
      </w:pPr>
      <w:r w:rsidRPr="001B3304">
        <w:rPr>
          <w:szCs w:val="24"/>
        </w:rPr>
        <w:t xml:space="preserve">The phrase “exercises influence” over the movements of a person for the purposes of s. 279.01(1) means something less coercive than “exercises direction”. Exercising influence over a person’s movements means doing anything to affect the person’s movements. Influence can be exerted while still allowing scope for the person’s free will to operate. This would include anything done to induce, alter, sway, or affect the will of the complainant. Both of these terms </w:t>
      </w:r>
      <w:r w:rsidRPr="001B3304">
        <w:rPr>
          <w:color w:val="000000"/>
          <w:szCs w:val="24"/>
        </w:rPr>
        <w:t>generally suggest a situation that results from a series of acts rather than an isolated act:</w:t>
      </w:r>
      <w:r w:rsidRPr="001B3304">
        <w:rPr>
          <w:szCs w:val="24"/>
        </w:rPr>
        <w:t xml:space="preserve"> </w:t>
      </w:r>
      <w:r w:rsidRPr="001B3304">
        <w:rPr>
          <w:i/>
          <w:iCs/>
          <w:szCs w:val="24"/>
        </w:rPr>
        <w:t xml:space="preserve">R v </w:t>
      </w:r>
      <w:proofErr w:type="spellStart"/>
      <w:r w:rsidRPr="001B3304">
        <w:rPr>
          <w:i/>
          <w:iCs/>
          <w:szCs w:val="24"/>
        </w:rPr>
        <w:t>Gallone</w:t>
      </w:r>
      <w:proofErr w:type="spellEnd"/>
      <w:r w:rsidRPr="001B3304">
        <w:rPr>
          <w:i/>
          <w:iCs/>
          <w:szCs w:val="24"/>
        </w:rPr>
        <w:t xml:space="preserve">, </w:t>
      </w:r>
      <w:hyperlink r:id="rId174" w:anchor="_ftnref1" w:history="1">
        <w:r w:rsidRPr="001B3304">
          <w:rPr>
            <w:rStyle w:val="Hyperlink"/>
            <w:szCs w:val="24"/>
          </w:rPr>
          <w:t>2019 ONCA 663</w:t>
        </w:r>
      </w:hyperlink>
      <w:r w:rsidRPr="001B3304">
        <w:rPr>
          <w:szCs w:val="24"/>
        </w:rPr>
        <w:t>, at paras 47-48</w:t>
      </w:r>
    </w:p>
    <w:p w14:paraId="47FFB12E" w14:textId="1382DDAB" w:rsidR="00F038B9" w:rsidRPr="001B3304" w:rsidRDefault="00F038B9" w:rsidP="003E1822">
      <w:pPr>
        <w:pStyle w:val="NoSpacing"/>
        <w:rPr>
          <w:szCs w:val="24"/>
        </w:rPr>
      </w:pPr>
    </w:p>
    <w:p w14:paraId="1E7EB7B9" w14:textId="6385950D" w:rsidR="00085DF5" w:rsidRPr="001B3304" w:rsidRDefault="00085DF5" w:rsidP="003E1822">
      <w:pPr>
        <w:pStyle w:val="NoSpacing"/>
        <w:rPr>
          <w:rStyle w:val="Hyperlink"/>
          <w:szCs w:val="24"/>
        </w:rPr>
      </w:pPr>
      <w:r w:rsidRPr="001B3304">
        <w:rPr>
          <w:szCs w:val="24"/>
        </w:rPr>
        <w:t xml:space="preserve">See also </w:t>
      </w:r>
      <w:r w:rsidRPr="001B3304">
        <w:rPr>
          <w:i/>
          <w:iCs/>
          <w:szCs w:val="24"/>
        </w:rPr>
        <w:t xml:space="preserve">R v Sinclair, </w:t>
      </w:r>
      <w:hyperlink r:id="rId175" w:history="1">
        <w:r w:rsidRPr="001B3304">
          <w:rPr>
            <w:rStyle w:val="Hyperlink"/>
            <w:szCs w:val="24"/>
          </w:rPr>
          <w:t>2020 ONCA 61</w:t>
        </w:r>
      </w:hyperlink>
    </w:p>
    <w:p w14:paraId="16B40B03" w14:textId="65B9C499" w:rsidR="00D23B96" w:rsidRPr="001B3304" w:rsidRDefault="00D23B96" w:rsidP="003E1822">
      <w:pPr>
        <w:pStyle w:val="NoSpacing"/>
        <w:rPr>
          <w:szCs w:val="24"/>
        </w:rPr>
      </w:pPr>
    </w:p>
    <w:p w14:paraId="22B8034A" w14:textId="2C8A5DD7" w:rsidR="00B37489" w:rsidRPr="001B3304" w:rsidRDefault="00B37489" w:rsidP="003E1822">
      <w:pPr>
        <w:pStyle w:val="NoSpacing"/>
        <w:rPr>
          <w:color w:val="000000"/>
          <w:szCs w:val="24"/>
        </w:rPr>
      </w:pPr>
      <w:r w:rsidRPr="001B3304">
        <w:rPr>
          <w:color w:val="000000"/>
          <w:szCs w:val="24"/>
        </w:rPr>
        <w:t xml:space="preserve">Where exploitation, as defined in s. 279.04, arises from the facts, inferring that the accused's purpose was to exploit the victim will usually be a relatively straightforward task: </w:t>
      </w:r>
      <w:r w:rsidRPr="001B3304">
        <w:rPr>
          <w:i/>
          <w:iCs/>
          <w:color w:val="000000"/>
          <w:szCs w:val="24"/>
        </w:rPr>
        <w:t xml:space="preserve">R v </w:t>
      </w:r>
      <w:proofErr w:type="spellStart"/>
      <w:r w:rsidRPr="001B3304">
        <w:rPr>
          <w:i/>
          <w:iCs/>
          <w:color w:val="000000"/>
          <w:szCs w:val="24"/>
        </w:rPr>
        <w:t>Tekin</w:t>
      </w:r>
      <w:proofErr w:type="spellEnd"/>
      <w:r w:rsidRPr="001B3304">
        <w:rPr>
          <w:i/>
          <w:iCs/>
          <w:color w:val="000000"/>
          <w:szCs w:val="24"/>
        </w:rPr>
        <w:t xml:space="preserve">, </w:t>
      </w:r>
      <w:hyperlink r:id="rId176" w:history="1">
        <w:r w:rsidRPr="001B3304">
          <w:rPr>
            <w:rStyle w:val="Hyperlink"/>
            <w:szCs w:val="24"/>
          </w:rPr>
          <w:t>2022 ONCA 740</w:t>
        </w:r>
      </w:hyperlink>
      <w:r w:rsidRPr="001B3304">
        <w:rPr>
          <w:color w:val="000000"/>
          <w:szCs w:val="24"/>
        </w:rPr>
        <w:t>, at para 5</w:t>
      </w:r>
      <w:r w:rsidR="00E47A57" w:rsidRPr="001B3304">
        <w:rPr>
          <w:color w:val="000000"/>
          <w:szCs w:val="24"/>
        </w:rPr>
        <w:t xml:space="preserve">; </w:t>
      </w:r>
      <w:r w:rsidR="00E47A57" w:rsidRPr="001B3304">
        <w:rPr>
          <w:i/>
          <w:iCs/>
          <w:color w:val="000000"/>
          <w:szCs w:val="24"/>
        </w:rPr>
        <w:t xml:space="preserve">R v Wilson, </w:t>
      </w:r>
      <w:hyperlink r:id="rId177" w:history="1">
        <w:r w:rsidR="00E47A57" w:rsidRPr="001B3304">
          <w:rPr>
            <w:rStyle w:val="Hyperlink"/>
            <w:szCs w:val="24"/>
          </w:rPr>
          <w:t>2022 ONCA 857</w:t>
        </w:r>
      </w:hyperlink>
      <w:r w:rsidR="00E47A57" w:rsidRPr="001B3304">
        <w:rPr>
          <w:color w:val="000000"/>
          <w:szCs w:val="24"/>
        </w:rPr>
        <w:t xml:space="preserve">, at para 39 </w:t>
      </w:r>
    </w:p>
    <w:p w14:paraId="63F094CB" w14:textId="533ECFDB" w:rsidR="00E47A57" w:rsidRPr="001B3304" w:rsidRDefault="00E47A57" w:rsidP="003E1822">
      <w:pPr>
        <w:pStyle w:val="NoSpacing"/>
        <w:rPr>
          <w:color w:val="000000"/>
          <w:szCs w:val="24"/>
        </w:rPr>
      </w:pPr>
    </w:p>
    <w:p w14:paraId="4E3E3C7F" w14:textId="5610F201" w:rsidR="00E47A57" w:rsidRPr="001B3304" w:rsidRDefault="00E47A57" w:rsidP="00E47A57">
      <w:pPr>
        <w:pStyle w:val="NoSpacing"/>
        <w:rPr>
          <w:szCs w:val="24"/>
        </w:rPr>
      </w:pPr>
      <w:r w:rsidRPr="001B3304">
        <w:rPr>
          <w:szCs w:val="24"/>
        </w:rPr>
        <w:t>“Exploitation” does not require that a person’s safety actually be threatened. Nor is “safety” limited to being protected from only physical harm but also includes psychological harm. Circumstances that might be relevant when assessing whether conduct could reasonably be expected to cause a complainant to fear for their safety include:</w:t>
      </w:r>
    </w:p>
    <w:p w14:paraId="0CF9CAAB" w14:textId="77777777" w:rsidR="00E47A57" w:rsidRPr="001B3304" w:rsidRDefault="00E47A57" w:rsidP="00E47A57">
      <w:pPr>
        <w:pStyle w:val="NoSpacing"/>
        <w:numPr>
          <w:ilvl w:val="0"/>
          <w:numId w:val="55"/>
        </w:numPr>
        <w:rPr>
          <w:szCs w:val="24"/>
        </w:rPr>
      </w:pPr>
      <w:r w:rsidRPr="001B3304">
        <w:rPr>
          <w:szCs w:val="24"/>
        </w:rPr>
        <w:t xml:space="preserve">the presence or absence of violence or threats; </w:t>
      </w:r>
    </w:p>
    <w:p w14:paraId="7A023079" w14:textId="77777777" w:rsidR="00E47A57" w:rsidRPr="001B3304" w:rsidRDefault="00E47A57" w:rsidP="00E47A57">
      <w:pPr>
        <w:pStyle w:val="NoSpacing"/>
        <w:numPr>
          <w:ilvl w:val="0"/>
          <w:numId w:val="55"/>
        </w:numPr>
        <w:rPr>
          <w:szCs w:val="24"/>
        </w:rPr>
      </w:pPr>
      <w:r w:rsidRPr="001B3304">
        <w:rPr>
          <w:szCs w:val="24"/>
        </w:rPr>
        <w:t xml:space="preserve">coercion, including physical, emotional or psychological; </w:t>
      </w:r>
    </w:p>
    <w:p w14:paraId="4CE98866" w14:textId="77777777" w:rsidR="00E47A57" w:rsidRPr="001B3304" w:rsidRDefault="00E47A57" w:rsidP="00E47A57">
      <w:pPr>
        <w:pStyle w:val="NoSpacing"/>
        <w:numPr>
          <w:ilvl w:val="0"/>
          <w:numId w:val="55"/>
        </w:numPr>
        <w:rPr>
          <w:szCs w:val="24"/>
        </w:rPr>
      </w:pPr>
      <w:r w:rsidRPr="001B3304">
        <w:rPr>
          <w:szCs w:val="24"/>
        </w:rPr>
        <w:t xml:space="preserve">deception; </w:t>
      </w:r>
    </w:p>
    <w:p w14:paraId="69C0BC20" w14:textId="77777777" w:rsidR="00E47A57" w:rsidRPr="001B3304" w:rsidRDefault="00E47A57" w:rsidP="00E47A57">
      <w:pPr>
        <w:pStyle w:val="NoSpacing"/>
        <w:numPr>
          <w:ilvl w:val="0"/>
          <w:numId w:val="55"/>
        </w:numPr>
        <w:rPr>
          <w:szCs w:val="24"/>
        </w:rPr>
      </w:pPr>
      <w:r w:rsidRPr="001B3304">
        <w:rPr>
          <w:szCs w:val="24"/>
        </w:rPr>
        <w:t xml:space="preserve">abuse of trust, power, or authority; </w:t>
      </w:r>
    </w:p>
    <w:p w14:paraId="5F7FB865" w14:textId="51738403" w:rsidR="00E47A57" w:rsidRPr="001B3304" w:rsidRDefault="00E47A57" w:rsidP="00E47A57">
      <w:pPr>
        <w:pStyle w:val="NoSpacing"/>
        <w:numPr>
          <w:ilvl w:val="0"/>
          <w:numId w:val="55"/>
        </w:numPr>
        <w:rPr>
          <w:szCs w:val="24"/>
        </w:rPr>
      </w:pPr>
      <w:r w:rsidRPr="001B3304">
        <w:rPr>
          <w:szCs w:val="24"/>
        </w:rPr>
        <w:t xml:space="preserve">vulnerability due to age or personal circumstances, such as social or economic disadvantage, and victimization from other sources; </w:t>
      </w:r>
    </w:p>
    <w:p w14:paraId="2248470E" w14:textId="77777777" w:rsidR="00E47A57" w:rsidRPr="001B3304" w:rsidRDefault="00E47A57" w:rsidP="00E47A57">
      <w:pPr>
        <w:pStyle w:val="NoSpacing"/>
        <w:numPr>
          <w:ilvl w:val="0"/>
          <w:numId w:val="55"/>
        </w:numPr>
        <w:rPr>
          <w:szCs w:val="24"/>
        </w:rPr>
      </w:pPr>
      <w:r w:rsidRPr="001B3304">
        <w:rPr>
          <w:szCs w:val="24"/>
        </w:rPr>
        <w:t xml:space="preserve">isolation of the complainant; </w:t>
      </w:r>
    </w:p>
    <w:p w14:paraId="64B5814C" w14:textId="77777777" w:rsidR="00E47A57" w:rsidRPr="001B3304" w:rsidRDefault="00E47A57" w:rsidP="00E47A57">
      <w:pPr>
        <w:pStyle w:val="NoSpacing"/>
        <w:numPr>
          <w:ilvl w:val="0"/>
          <w:numId w:val="55"/>
        </w:numPr>
        <w:rPr>
          <w:szCs w:val="24"/>
        </w:rPr>
      </w:pPr>
      <w:r w:rsidRPr="001B3304">
        <w:rPr>
          <w:szCs w:val="24"/>
        </w:rPr>
        <w:t xml:space="preserve">the nature of the relationship between the accused and the complainant; </w:t>
      </w:r>
    </w:p>
    <w:p w14:paraId="61937317" w14:textId="77777777" w:rsidR="00E47A57" w:rsidRPr="001B3304" w:rsidRDefault="00E47A57" w:rsidP="00E47A57">
      <w:pPr>
        <w:pStyle w:val="NoSpacing"/>
        <w:numPr>
          <w:ilvl w:val="0"/>
          <w:numId w:val="55"/>
        </w:numPr>
        <w:rPr>
          <w:szCs w:val="24"/>
        </w:rPr>
      </w:pPr>
      <w:r w:rsidRPr="001B3304">
        <w:rPr>
          <w:szCs w:val="24"/>
        </w:rPr>
        <w:t xml:space="preserve">directive </w:t>
      </w:r>
      <w:proofErr w:type="spellStart"/>
      <w:r w:rsidRPr="001B3304">
        <w:rPr>
          <w:szCs w:val="24"/>
        </w:rPr>
        <w:t>behaviour</w:t>
      </w:r>
      <w:proofErr w:type="spellEnd"/>
      <w:r w:rsidRPr="001B3304">
        <w:rPr>
          <w:szCs w:val="24"/>
        </w:rPr>
        <w:t xml:space="preserve">; </w:t>
      </w:r>
    </w:p>
    <w:p w14:paraId="21C60D66" w14:textId="77777777" w:rsidR="00E47A57" w:rsidRPr="001B3304" w:rsidRDefault="00E47A57" w:rsidP="00E47A57">
      <w:pPr>
        <w:pStyle w:val="NoSpacing"/>
        <w:numPr>
          <w:ilvl w:val="0"/>
          <w:numId w:val="55"/>
        </w:numPr>
        <w:rPr>
          <w:szCs w:val="24"/>
        </w:rPr>
      </w:pPr>
      <w:r w:rsidRPr="001B3304">
        <w:rPr>
          <w:szCs w:val="24"/>
        </w:rPr>
        <w:t xml:space="preserve">influence exercised over the nature and location of the services provided; </w:t>
      </w:r>
    </w:p>
    <w:p w14:paraId="0BA76A41" w14:textId="77777777" w:rsidR="00E47A57" w:rsidRPr="001B3304" w:rsidRDefault="00E47A57" w:rsidP="00E47A57">
      <w:pPr>
        <w:pStyle w:val="NoSpacing"/>
        <w:numPr>
          <w:ilvl w:val="0"/>
          <w:numId w:val="55"/>
        </w:numPr>
        <w:rPr>
          <w:szCs w:val="24"/>
        </w:rPr>
      </w:pPr>
      <w:r w:rsidRPr="001B3304">
        <w:rPr>
          <w:szCs w:val="24"/>
        </w:rPr>
        <w:t xml:space="preserve">control over advertising of services; </w:t>
      </w:r>
    </w:p>
    <w:p w14:paraId="1BAED6AB" w14:textId="77777777" w:rsidR="00E47A57" w:rsidRPr="001B3304" w:rsidRDefault="00E47A57" w:rsidP="00E47A57">
      <w:pPr>
        <w:pStyle w:val="NoSpacing"/>
        <w:numPr>
          <w:ilvl w:val="0"/>
          <w:numId w:val="55"/>
        </w:numPr>
        <w:rPr>
          <w:szCs w:val="24"/>
        </w:rPr>
      </w:pPr>
      <w:r w:rsidRPr="001B3304">
        <w:rPr>
          <w:szCs w:val="24"/>
        </w:rPr>
        <w:lastRenderedPageBreak/>
        <w:t xml:space="preserve">limitations on the complainant’s movement; </w:t>
      </w:r>
    </w:p>
    <w:p w14:paraId="266BC0CD" w14:textId="77777777" w:rsidR="00E47A57" w:rsidRPr="001B3304" w:rsidRDefault="00E47A57" w:rsidP="00E47A57">
      <w:pPr>
        <w:pStyle w:val="NoSpacing"/>
        <w:numPr>
          <w:ilvl w:val="0"/>
          <w:numId w:val="55"/>
        </w:numPr>
        <w:rPr>
          <w:szCs w:val="24"/>
        </w:rPr>
      </w:pPr>
      <w:r w:rsidRPr="001B3304">
        <w:rPr>
          <w:szCs w:val="24"/>
        </w:rPr>
        <w:t xml:space="preserve">control of finances; </w:t>
      </w:r>
    </w:p>
    <w:p w14:paraId="68575FB7" w14:textId="77777777" w:rsidR="00E47A57" w:rsidRPr="001B3304" w:rsidRDefault="00E47A57" w:rsidP="00E47A57">
      <w:pPr>
        <w:pStyle w:val="NoSpacing"/>
        <w:numPr>
          <w:ilvl w:val="0"/>
          <w:numId w:val="55"/>
        </w:numPr>
        <w:rPr>
          <w:szCs w:val="24"/>
        </w:rPr>
      </w:pPr>
      <w:r w:rsidRPr="001B3304">
        <w:rPr>
          <w:szCs w:val="24"/>
        </w:rPr>
        <w:t xml:space="preserve">financial benefit to the accused; and </w:t>
      </w:r>
    </w:p>
    <w:p w14:paraId="44A3BA44" w14:textId="6F147E8A" w:rsidR="00E47A57" w:rsidRPr="001B3304" w:rsidRDefault="00E47A57" w:rsidP="00E47A57">
      <w:pPr>
        <w:pStyle w:val="NoSpacing"/>
        <w:numPr>
          <w:ilvl w:val="0"/>
          <w:numId w:val="55"/>
        </w:numPr>
        <w:rPr>
          <w:szCs w:val="24"/>
        </w:rPr>
      </w:pPr>
      <w:r w:rsidRPr="001B3304">
        <w:rPr>
          <w:szCs w:val="24"/>
        </w:rPr>
        <w:t>use of social media to assert control or monitor communications with others.</w:t>
      </w:r>
    </w:p>
    <w:p w14:paraId="00475DB6" w14:textId="4CE2C00B" w:rsidR="00E47A57" w:rsidRPr="001B3304" w:rsidRDefault="00E47A57" w:rsidP="00E47A57">
      <w:pPr>
        <w:pStyle w:val="NoSpacing"/>
        <w:rPr>
          <w:szCs w:val="24"/>
        </w:rPr>
      </w:pPr>
    </w:p>
    <w:p w14:paraId="582D8C48" w14:textId="2EA73D52" w:rsidR="00E47A57" w:rsidRPr="001B3304" w:rsidRDefault="00E47A57" w:rsidP="00E47A57">
      <w:pPr>
        <w:pStyle w:val="NoSpacing"/>
        <w:rPr>
          <w:szCs w:val="24"/>
        </w:rPr>
      </w:pPr>
      <w:r w:rsidRPr="001B3304">
        <w:rPr>
          <w:i/>
          <w:iCs/>
          <w:szCs w:val="24"/>
        </w:rPr>
        <w:t xml:space="preserve">R v Wilson, </w:t>
      </w:r>
      <w:hyperlink r:id="rId178" w:history="1">
        <w:r w:rsidRPr="001B3304">
          <w:rPr>
            <w:rStyle w:val="Hyperlink"/>
            <w:szCs w:val="24"/>
          </w:rPr>
          <w:t>2022 ONCA 857</w:t>
        </w:r>
      </w:hyperlink>
      <w:r w:rsidRPr="001B3304">
        <w:rPr>
          <w:szCs w:val="24"/>
        </w:rPr>
        <w:t>, at para 43</w:t>
      </w:r>
    </w:p>
    <w:p w14:paraId="65D12031" w14:textId="77777777" w:rsidR="00E47A57" w:rsidRPr="001B3304" w:rsidRDefault="00E47A57" w:rsidP="00E47A57">
      <w:pPr>
        <w:rPr>
          <w:rFonts w:ascii="Arial" w:hAnsi="Arial" w:cs="Arial"/>
        </w:rPr>
      </w:pPr>
    </w:p>
    <w:p w14:paraId="2BB8DABA" w14:textId="77777777" w:rsidR="00E47A57" w:rsidRPr="001B3304" w:rsidRDefault="00E47A57" w:rsidP="003E1822">
      <w:pPr>
        <w:pStyle w:val="NoSpacing"/>
        <w:rPr>
          <w:color w:val="000000"/>
          <w:szCs w:val="24"/>
        </w:rPr>
      </w:pPr>
    </w:p>
    <w:p w14:paraId="54AD0397" w14:textId="5C9664E1" w:rsidR="00E47A57" w:rsidRPr="001B3304" w:rsidRDefault="00E47A57" w:rsidP="00E47A57">
      <w:pPr>
        <w:pStyle w:val="NoSpacing"/>
        <w:rPr>
          <w:szCs w:val="24"/>
        </w:rPr>
      </w:pPr>
      <w:r w:rsidRPr="001B3304">
        <w:rPr>
          <w:szCs w:val="24"/>
        </w:rPr>
        <w:t>The element of control  does not necessarily mean complete physical control over or the absence of any choice by the complainant and can also refer to psychological coercion. As this court clarified in </w:t>
      </w:r>
      <w:proofErr w:type="spellStart"/>
      <w:r w:rsidRPr="001B3304">
        <w:rPr>
          <w:szCs w:val="24"/>
        </w:rPr>
        <w:t>Gallone</w:t>
      </w:r>
      <w:proofErr w:type="spellEnd"/>
      <w:r w:rsidRPr="001B3304">
        <w:rPr>
          <w:szCs w:val="24"/>
        </w:rPr>
        <w:t xml:space="preserve">, at para. 50, while the terms, “control”, “direct” and “influence” involve different degrees of coercion, those terms all “evoke a scenario in which a person, by virtue of her or his relationship with the complainant, has some power – whether physical, psychological, moral or otherwise – over the complainant and his or her movements.” It is not necessary that control be complete, constant and absolute. </w:t>
      </w:r>
    </w:p>
    <w:p w14:paraId="0C6F8D34" w14:textId="77777777" w:rsidR="00E47A57" w:rsidRPr="001B3304" w:rsidRDefault="00E47A57" w:rsidP="00E47A57">
      <w:pPr>
        <w:pStyle w:val="NoSpacing"/>
        <w:rPr>
          <w:szCs w:val="24"/>
        </w:rPr>
      </w:pPr>
    </w:p>
    <w:p w14:paraId="2E88B319" w14:textId="77777777" w:rsidR="00E47A57" w:rsidRPr="001B3304" w:rsidRDefault="00E47A57" w:rsidP="00E47A57">
      <w:pPr>
        <w:pStyle w:val="NoSpacing"/>
        <w:rPr>
          <w:szCs w:val="24"/>
        </w:rPr>
      </w:pPr>
      <w:r w:rsidRPr="001B3304">
        <w:rPr>
          <w:szCs w:val="24"/>
        </w:rPr>
        <w:t xml:space="preserve">In </w:t>
      </w:r>
      <w:r w:rsidRPr="001B3304">
        <w:rPr>
          <w:i/>
          <w:iCs/>
          <w:szCs w:val="24"/>
        </w:rPr>
        <w:t xml:space="preserve">Wilson, </w:t>
      </w:r>
      <w:r w:rsidRPr="001B3304">
        <w:rPr>
          <w:szCs w:val="24"/>
        </w:rPr>
        <w:t xml:space="preserve">for example, the element of control was satisfied by the accused controlling complainant’s movements by manhandling her, giving her drugs to keep her “high”, retaining her money, pressuring her to work, becoming angry with her if she wanted money or refused to work, arranging her clients and locations, preventing her from leaving the motel and hotel rooms to which he drove her, and emotionally manipulating the complainant through their romantic relationship to keep her with him and have her return to him, notwithstanding that she did return to her parents on occasion: </w:t>
      </w:r>
      <w:r w:rsidRPr="001B3304">
        <w:rPr>
          <w:i/>
          <w:iCs/>
          <w:szCs w:val="24"/>
        </w:rPr>
        <w:t xml:space="preserve">R v Wilson, </w:t>
      </w:r>
      <w:hyperlink r:id="rId179" w:history="1">
        <w:r w:rsidRPr="001B3304">
          <w:rPr>
            <w:rStyle w:val="Hyperlink"/>
            <w:szCs w:val="24"/>
          </w:rPr>
          <w:t>2022 ONCA 857</w:t>
        </w:r>
      </w:hyperlink>
      <w:r w:rsidRPr="001B3304">
        <w:rPr>
          <w:szCs w:val="24"/>
        </w:rPr>
        <w:t>, at paras 28-29</w:t>
      </w:r>
    </w:p>
    <w:p w14:paraId="6B9CDEFC" w14:textId="4D4B8A31" w:rsidR="00E47A57" w:rsidRPr="001B3304" w:rsidRDefault="00E47A57" w:rsidP="003E1822">
      <w:pPr>
        <w:pStyle w:val="NoSpacing"/>
        <w:rPr>
          <w:szCs w:val="24"/>
        </w:rPr>
      </w:pPr>
    </w:p>
    <w:p w14:paraId="0DF05D85" w14:textId="184A5CCC" w:rsidR="00F038B9" w:rsidRPr="001B3304" w:rsidRDefault="00F038B9" w:rsidP="003E1822">
      <w:pPr>
        <w:pStyle w:val="Heading2"/>
        <w:spacing w:line="276" w:lineRule="auto"/>
      </w:pPr>
      <w:bookmarkStart w:id="98" w:name="_Toc134294136"/>
      <w:r w:rsidRPr="001B3304">
        <w:t>Procuring</w:t>
      </w:r>
      <w:r w:rsidR="00E65E9A" w:rsidRPr="001B3304">
        <w:t xml:space="preserve"> OR HARBOURING</w:t>
      </w:r>
      <w:r w:rsidRPr="001B3304">
        <w:t>: s. 286.3</w:t>
      </w:r>
      <w:bookmarkEnd w:id="98"/>
    </w:p>
    <w:p w14:paraId="3E745A69" w14:textId="03DFB4C1" w:rsidR="00F038B9" w:rsidRPr="001B3304" w:rsidRDefault="00F038B9" w:rsidP="003E1822">
      <w:pPr>
        <w:spacing w:line="276" w:lineRule="auto"/>
        <w:rPr>
          <w:rFonts w:ascii="Arial" w:hAnsi="Arial" w:cs="Arial"/>
          <w:lang w:val="en-US"/>
        </w:rPr>
      </w:pPr>
    </w:p>
    <w:p w14:paraId="15322B53" w14:textId="09A22545" w:rsidR="00F038B9" w:rsidRPr="001B3304" w:rsidRDefault="00F038B9" w:rsidP="003E1822">
      <w:pPr>
        <w:pStyle w:val="NoSpacing"/>
        <w:rPr>
          <w:szCs w:val="24"/>
        </w:rPr>
      </w:pPr>
      <w:r w:rsidRPr="001B3304">
        <w:rPr>
          <w:szCs w:val="24"/>
        </w:rPr>
        <w:t>There are two modes of committing the </w:t>
      </w:r>
      <w:r w:rsidRPr="001B3304">
        <w:rPr>
          <w:i/>
          <w:iCs/>
          <w:szCs w:val="24"/>
        </w:rPr>
        <w:t>actus reus </w:t>
      </w:r>
      <w:r w:rsidRPr="001B3304">
        <w:rPr>
          <w:szCs w:val="24"/>
        </w:rPr>
        <w:t>of the procuring offence</w:t>
      </w:r>
    </w:p>
    <w:p w14:paraId="38260FE1" w14:textId="77777777" w:rsidR="00F038B9" w:rsidRPr="001B3304" w:rsidRDefault="00F038B9" w:rsidP="003E1822">
      <w:pPr>
        <w:pStyle w:val="NoSpacing"/>
        <w:rPr>
          <w:szCs w:val="24"/>
        </w:rPr>
      </w:pPr>
    </w:p>
    <w:p w14:paraId="79B9431B" w14:textId="1D72A9C3" w:rsidR="00F038B9" w:rsidRPr="001B3304" w:rsidRDefault="00F038B9" w:rsidP="003E1822">
      <w:pPr>
        <w:pStyle w:val="NoSpacing"/>
        <w:numPr>
          <w:ilvl w:val="2"/>
          <w:numId w:val="20"/>
        </w:numPr>
        <w:ind w:left="851"/>
        <w:rPr>
          <w:szCs w:val="24"/>
        </w:rPr>
      </w:pPr>
      <w:r w:rsidRPr="001B3304">
        <w:rPr>
          <w:szCs w:val="24"/>
        </w:rPr>
        <w:t>The accused “procures a person to offer or provide sexual services for consideration”; or</w:t>
      </w:r>
    </w:p>
    <w:p w14:paraId="53506854" w14:textId="223785A4" w:rsidR="00F038B9" w:rsidRPr="001B3304" w:rsidRDefault="00F038B9" w:rsidP="003E1822">
      <w:pPr>
        <w:pStyle w:val="NoSpacing"/>
        <w:numPr>
          <w:ilvl w:val="2"/>
          <w:numId w:val="20"/>
        </w:numPr>
        <w:ind w:left="851"/>
        <w:rPr>
          <w:szCs w:val="24"/>
        </w:rPr>
      </w:pPr>
      <w:r w:rsidRPr="001B3304">
        <w:rPr>
          <w:szCs w:val="24"/>
        </w:rPr>
        <w:t xml:space="preserve">The accused “recruits, holds, conceals or </w:t>
      </w:r>
      <w:proofErr w:type="spellStart"/>
      <w:r w:rsidRPr="001B3304">
        <w:rPr>
          <w:szCs w:val="24"/>
        </w:rPr>
        <w:t>harbours</w:t>
      </w:r>
      <w:proofErr w:type="spellEnd"/>
      <w:r w:rsidRPr="001B3304">
        <w:rPr>
          <w:szCs w:val="24"/>
        </w:rPr>
        <w:t xml:space="preserve"> a person who offers or provides sexual services for consideration, or exercises control, direction or influence over the movements of that person” </w:t>
      </w:r>
    </w:p>
    <w:p w14:paraId="5CF5F75B" w14:textId="77777777" w:rsidR="00F038B9" w:rsidRPr="001B3304" w:rsidRDefault="00F038B9" w:rsidP="003E1822">
      <w:pPr>
        <w:pStyle w:val="NoSpacing"/>
        <w:rPr>
          <w:i/>
          <w:iCs/>
          <w:szCs w:val="24"/>
        </w:rPr>
      </w:pPr>
    </w:p>
    <w:p w14:paraId="470EA52B" w14:textId="0129876C" w:rsidR="00F038B9" w:rsidRPr="001B3304" w:rsidRDefault="00F038B9" w:rsidP="003E1822">
      <w:pPr>
        <w:pStyle w:val="NoSpacing"/>
        <w:rPr>
          <w:szCs w:val="24"/>
        </w:rPr>
      </w:pPr>
      <w:r w:rsidRPr="001B3304">
        <w:rPr>
          <w:i/>
          <w:iCs/>
          <w:szCs w:val="24"/>
        </w:rPr>
        <w:t xml:space="preserve">R v </w:t>
      </w:r>
      <w:proofErr w:type="spellStart"/>
      <w:r w:rsidRPr="001B3304">
        <w:rPr>
          <w:i/>
          <w:iCs/>
          <w:szCs w:val="24"/>
        </w:rPr>
        <w:t>Gallone</w:t>
      </w:r>
      <w:proofErr w:type="spellEnd"/>
      <w:r w:rsidRPr="001B3304">
        <w:rPr>
          <w:i/>
          <w:iCs/>
          <w:szCs w:val="24"/>
        </w:rPr>
        <w:t xml:space="preserve">, </w:t>
      </w:r>
      <w:hyperlink r:id="rId180" w:anchor="_ftnref1" w:history="1">
        <w:r w:rsidRPr="001B3304">
          <w:rPr>
            <w:rStyle w:val="Hyperlink"/>
            <w:szCs w:val="24"/>
          </w:rPr>
          <w:t>2019 ONCA 663</w:t>
        </w:r>
      </w:hyperlink>
      <w:r w:rsidRPr="001B3304">
        <w:rPr>
          <w:szCs w:val="24"/>
        </w:rPr>
        <w:t>, at para 59</w:t>
      </w:r>
    </w:p>
    <w:p w14:paraId="38166895" w14:textId="77777777" w:rsidR="00E65E9A" w:rsidRPr="001B3304" w:rsidRDefault="00E65E9A" w:rsidP="003E1822">
      <w:pPr>
        <w:pStyle w:val="NoSpacing"/>
        <w:rPr>
          <w:szCs w:val="24"/>
        </w:rPr>
      </w:pPr>
    </w:p>
    <w:p w14:paraId="7130B55B" w14:textId="5CB57355" w:rsidR="00F038B9" w:rsidRPr="001B3304" w:rsidRDefault="00F038B9" w:rsidP="003E1822">
      <w:pPr>
        <w:pStyle w:val="NoSpacing"/>
        <w:rPr>
          <w:szCs w:val="24"/>
        </w:rPr>
      </w:pPr>
      <w:r w:rsidRPr="001B3304">
        <w:rPr>
          <w:szCs w:val="24"/>
        </w:rPr>
        <w:lastRenderedPageBreak/>
        <w:t xml:space="preserve">“Procure” means “to cause, or to induce, or to have a persuasive effect upon the conduct that is alleged.” </w:t>
      </w:r>
    </w:p>
    <w:p w14:paraId="12099B96" w14:textId="77777777" w:rsidR="00F038B9" w:rsidRPr="001B3304" w:rsidRDefault="00F038B9" w:rsidP="003E1822">
      <w:pPr>
        <w:pStyle w:val="NoSpacing"/>
        <w:rPr>
          <w:szCs w:val="24"/>
        </w:rPr>
      </w:pPr>
    </w:p>
    <w:p w14:paraId="42806101" w14:textId="643302E7" w:rsidR="00F038B9" w:rsidRPr="001B3304" w:rsidRDefault="00F038B9" w:rsidP="003E1822">
      <w:pPr>
        <w:pStyle w:val="NoSpacing"/>
        <w:rPr>
          <w:szCs w:val="24"/>
        </w:rPr>
      </w:pPr>
      <w:r w:rsidRPr="001B3304">
        <w:rPr>
          <w:szCs w:val="24"/>
        </w:rPr>
        <w:t>The second mode of the </w:t>
      </w:r>
      <w:r w:rsidRPr="001B3304">
        <w:rPr>
          <w:i/>
          <w:iCs/>
          <w:szCs w:val="24"/>
        </w:rPr>
        <w:t>actus reus</w:t>
      </w:r>
      <w:r w:rsidRPr="001B3304">
        <w:rPr>
          <w:szCs w:val="24"/>
        </w:rPr>
        <w:t> for the procuring offence is satisfied by proof that the accused committed any one of the specified types of conduct – </w:t>
      </w:r>
      <w:r w:rsidRPr="001B3304">
        <w:rPr>
          <w:i/>
          <w:iCs/>
          <w:szCs w:val="24"/>
        </w:rPr>
        <w:t>i.e. </w:t>
      </w:r>
      <w:r w:rsidRPr="001B3304">
        <w:rPr>
          <w:szCs w:val="24"/>
        </w:rPr>
        <w:t xml:space="preserve">recruits, holds, conceals, </w:t>
      </w:r>
      <w:proofErr w:type="spellStart"/>
      <w:r w:rsidRPr="001B3304">
        <w:rPr>
          <w:szCs w:val="24"/>
        </w:rPr>
        <w:t>harbours</w:t>
      </w:r>
      <w:proofErr w:type="spellEnd"/>
      <w:r w:rsidRPr="001B3304">
        <w:rPr>
          <w:szCs w:val="24"/>
        </w:rPr>
        <w:t>, or exercises control, direction or influence over movement.</w:t>
      </w:r>
    </w:p>
    <w:p w14:paraId="14035055" w14:textId="1932818C" w:rsidR="00F038B9" w:rsidRPr="001B3304" w:rsidRDefault="00F038B9" w:rsidP="003E1822">
      <w:pPr>
        <w:pStyle w:val="NoSpacing"/>
        <w:rPr>
          <w:szCs w:val="24"/>
        </w:rPr>
      </w:pPr>
    </w:p>
    <w:p w14:paraId="41A09154" w14:textId="33084433" w:rsidR="00C9185E" w:rsidRPr="001B3304" w:rsidRDefault="00C9185E" w:rsidP="00C9185E">
      <w:pPr>
        <w:pStyle w:val="NoSpacing"/>
        <w:rPr>
          <w:szCs w:val="24"/>
        </w:rPr>
      </w:pPr>
      <w:r w:rsidRPr="001B3304">
        <w:rPr>
          <w:szCs w:val="24"/>
        </w:rPr>
        <w:t> Control does not necessarily mean complete physical control over or the absence of any choice by the complainant and can also refer to psychological coercion. As this court clarified in </w:t>
      </w:r>
      <w:proofErr w:type="spellStart"/>
      <w:r w:rsidRPr="001B3304">
        <w:rPr>
          <w:szCs w:val="24"/>
        </w:rPr>
        <w:t>Gallone</w:t>
      </w:r>
      <w:proofErr w:type="spellEnd"/>
      <w:r w:rsidRPr="001B3304">
        <w:rPr>
          <w:szCs w:val="24"/>
        </w:rPr>
        <w:t xml:space="preserve">, at para. 50, while the terms, “control”, “direct” and “influence” involve different degrees of coercion, those terms all “evoke a scenario in which a person, by virtue of her or his relationship with the complainant, has some power – whether physical, psychological, moral or otherwise – over the complainant and his or her movements.” It is not necessary that control be complete, constant and absolute. </w:t>
      </w:r>
    </w:p>
    <w:p w14:paraId="5F2D337D" w14:textId="641D2FE1" w:rsidR="00C9185E" w:rsidRPr="001B3304" w:rsidRDefault="00C9185E" w:rsidP="00C9185E">
      <w:pPr>
        <w:pStyle w:val="NoSpacing"/>
        <w:rPr>
          <w:szCs w:val="24"/>
        </w:rPr>
      </w:pPr>
    </w:p>
    <w:p w14:paraId="4EC2B30A" w14:textId="67F694B5" w:rsidR="00C9185E" w:rsidRPr="001B3304" w:rsidRDefault="00C9185E" w:rsidP="00C9185E">
      <w:pPr>
        <w:pStyle w:val="NoSpacing"/>
        <w:rPr>
          <w:szCs w:val="24"/>
        </w:rPr>
      </w:pPr>
      <w:r w:rsidRPr="001B3304">
        <w:rPr>
          <w:szCs w:val="24"/>
        </w:rPr>
        <w:t xml:space="preserve">In </w:t>
      </w:r>
      <w:r w:rsidRPr="001B3304">
        <w:rPr>
          <w:i/>
          <w:iCs/>
          <w:szCs w:val="24"/>
        </w:rPr>
        <w:t xml:space="preserve">Wilson, </w:t>
      </w:r>
      <w:r w:rsidRPr="001B3304">
        <w:rPr>
          <w:szCs w:val="24"/>
        </w:rPr>
        <w:t xml:space="preserve">for example, the element of control was satisfied by </w:t>
      </w:r>
      <w:r w:rsidR="00E47A57" w:rsidRPr="001B3304">
        <w:rPr>
          <w:szCs w:val="24"/>
        </w:rPr>
        <w:t xml:space="preserve">the accused controlling </w:t>
      </w:r>
      <w:r w:rsidRPr="001B3304">
        <w:rPr>
          <w:szCs w:val="24"/>
        </w:rPr>
        <w:t>complainant’s movements by manhandling her, giving her drugs to keep her “high”, retaining her money, pressuring her to work, becoming angry with her if she wanted money or refused to work, arranging her clients and locations, preventing her from leaving the motel and hotel rooms to which he drove her, and emotionally manipulating the complainant through their romantic relationship to keep her with him and have her return to him, notwithstanding that she did return to her parents on occasion</w:t>
      </w:r>
      <w:r w:rsidR="00E47A57" w:rsidRPr="001B3304">
        <w:rPr>
          <w:szCs w:val="24"/>
        </w:rPr>
        <w:t xml:space="preserve">: </w:t>
      </w:r>
      <w:r w:rsidR="00E47A57" w:rsidRPr="001B3304">
        <w:rPr>
          <w:i/>
          <w:iCs/>
          <w:szCs w:val="24"/>
        </w:rPr>
        <w:t xml:space="preserve">R v Wilson, </w:t>
      </w:r>
      <w:hyperlink r:id="rId181" w:history="1">
        <w:r w:rsidR="00E47A57" w:rsidRPr="001B3304">
          <w:rPr>
            <w:rStyle w:val="Hyperlink"/>
            <w:szCs w:val="24"/>
          </w:rPr>
          <w:t>2022 ONCA 857</w:t>
        </w:r>
      </w:hyperlink>
      <w:r w:rsidR="00E47A57" w:rsidRPr="001B3304">
        <w:rPr>
          <w:szCs w:val="24"/>
        </w:rPr>
        <w:t>, at paras 28-29</w:t>
      </w:r>
    </w:p>
    <w:p w14:paraId="79FB5C50" w14:textId="77777777" w:rsidR="00C9185E" w:rsidRPr="001B3304" w:rsidRDefault="00C9185E" w:rsidP="00C9185E">
      <w:pPr>
        <w:pStyle w:val="NoSpacing"/>
        <w:rPr>
          <w:szCs w:val="24"/>
        </w:rPr>
      </w:pPr>
    </w:p>
    <w:p w14:paraId="126B34B6" w14:textId="77D6B268" w:rsidR="00F038B9" w:rsidRPr="001B3304" w:rsidRDefault="00F038B9" w:rsidP="003E1822">
      <w:pPr>
        <w:pStyle w:val="NoSpacing"/>
        <w:rPr>
          <w:szCs w:val="24"/>
        </w:rPr>
      </w:pPr>
      <w:r w:rsidRPr="001B3304">
        <w:rPr>
          <w:szCs w:val="24"/>
        </w:rPr>
        <w:t>To prove </w:t>
      </w:r>
      <w:proofErr w:type="spellStart"/>
      <w:r w:rsidRPr="001B3304">
        <w:rPr>
          <w:i/>
          <w:iCs/>
          <w:szCs w:val="24"/>
        </w:rPr>
        <w:t>mens</w:t>
      </w:r>
      <w:proofErr w:type="spellEnd"/>
      <w:r w:rsidRPr="001B3304">
        <w:rPr>
          <w:i/>
          <w:iCs/>
          <w:szCs w:val="24"/>
        </w:rPr>
        <w:t xml:space="preserve"> rea</w:t>
      </w:r>
      <w:r w:rsidRPr="001B3304">
        <w:rPr>
          <w:szCs w:val="24"/>
        </w:rPr>
        <w:t> for the first mode of the procuring offence, the Crown must prove that the accused intended to procure a person to offer or provide sexual services for consideration. To prove </w:t>
      </w:r>
      <w:proofErr w:type="spellStart"/>
      <w:r w:rsidRPr="001B3304">
        <w:rPr>
          <w:i/>
          <w:iCs/>
          <w:szCs w:val="24"/>
        </w:rPr>
        <w:t>mens</w:t>
      </w:r>
      <w:proofErr w:type="spellEnd"/>
      <w:r w:rsidRPr="001B3304">
        <w:rPr>
          <w:i/>
          <w:iCs/>
          <w:szCs w:val="24"/>
        </w:rPr>
        <w:t xml:space="preserve"> rea </w:t>
      </w:r>
      <w:r w:rsidRPr="001B3304">
        <w:rPr>
          <w:szCs w:val="24"/>
        </w:rPr>
        <w:t>for the second mode, the Crown must prove that the accused intended to do anything that satisfies the </w:t>
      </w:r>
      <w:r w:rsidRPr="001B3304">
        <w:rPr>
          <w:i/>
          <w:iCs/>
          <w:szCs w:val="24"/>
        </w:rPr>
        <w:t>actus reus </w:t>
      </w:r>
      <w:r w:rsidRPr="001B3304">
        <w:rPr>
          <w:szCs w:val="24"/>
        </w:rPr>
        <w:t xml:space="preserve">for this mode in relation to a person who offers or provides sexual services for consideration, and that the accused acted with the purpose of facilitating an offence under s. 286.1(1) (the purchasing sexual services offence): </w:t>
      </w:r>
      <w:r w:rsidRPr="001B3304">
        <w:rPr>
          <w:i/>
          <w:iCs/>
          <w:szCs w:val="24"/>
        </w:rPr>
        <w:t xml:space="preserve">R v </w:t>
      </w:r>
      <w:proofErr w:type="spellStart"/>
      <w:r w:rsidRPr="001B3304">
        <w:rPr>
          <w:i/>
          <w:iCs/>
          <w:szCs w:val="24"/>
        </w:rPr>
        <w:t>Gallone</w:t>
      </w:r>
      <w:proofErr w:type="spellEnd"/>
      <w:r w:rsidRPr="001B3304">
        <w:rPr>
          <w:i/>
          <w:iCs/>
          <w:szCs w:val="24"/>
        </w:rPr>
        <w:t xml:space="preserve">, </w:t>
      </w:r>
      <w:hyperlink r:id="rId182" w:anchor="_ftnref1" w:history="1">
        <w:r w:rsidRPr="001B3304">
          <w:rPr>
            <w:rStyle w:val="Hyperlink"/>
            <w:szCs w:val="24"/>
          </w:rPr>
          <w:t>2019 ONCA 663</w:t>
        </w:r>
      </w:hyperlink>
      <w:r w:rsidRPr="001B3304">
        <w:rPr>
          <w:szCs w:val="24"/>
        </w:rPr>
        <w:t>, at paras 61-63</w:t>
      </w:r>
      <w:r w:rsidR="00E65E9A" w:rsidRPr="001B3304">
        <w:rPr>
          <w:szCs w:val="24"/>
        </w:rPr>
        <w:t xml:space="preserve">; see also </w:t>
      </w:r>
      <w:r w:rsidR="00E65E9A" w:rsidRPr="001B3304">
        <w:rPr>
          <w:i/>
          <w:iCs/>
          <w:szCs w:val="24"/>
        </w:rPr>
        <w:t xml:space="preserve">R v Joseph, </w:t>
      </w:r>
      <w:hyperlink r:id="rId183" w:history="1">
        <w:r w:rsidR="00E65E9A" w:rsidRPr="001B3304">
          <w:rPr>
            <w:rStyle w:val="Hyperlink"/>
            <w:szCs w:val="24"/>
          </w:rPr>
          <w:t>2020 ONCA 733</w:t>
        </w:r>
      </w:hyperlink>
      <w:r w:rsidR="00E65E9A" w:rsidRPr="001B3304">
        <w:rPr>
          <w:szCs w:val="24"/>
        </w:rPr>
        <w:t>, at paras 63-73</w:t>
      </w:r>
    </w:p>
    <w:p w14:paraId="028737BF" w14:textId="18724686" w:rsidR="00E65E9A" w:rsidRPr="001B3304" w:rsidRDefault="00E65E9A" w:rsidP="003E1822">
      <w:pPr>
        <w:pStyle w:val="NoSpacing"/>
        <w:rPr>
          <w:szCs w:val="24"/>
        </w:rPr>
      </w:pPr>
    </w:p>
    <w:p w14:paraId="15CFCC91" w14:textId="0BCF0E0A" w:rsidR="006A5A3B" w:rsidRPr="001B3304" w:rsidRDefault="006A5A3B" w:rsidP="006A5A3B">
      <w:pPr>
        <w:pStyle w:val="NoSpacing"/>
        <w:rPr>
          <w:szCs w:val="24"/>
        </w:rPr>
      </w:pPr>
      <w:r w:rsidRPr="001B3304">
        <w:rPr>
          <w:szCs w:val="24"/>
        </w:rPr>
        <w:t xml:space="preserve">It is an error to concentrate on what an accused did, without regard to the nature of the relationship between the accused and the complainant, and the impact of the accused’s conduct on the complainant’s state of mind. However, sometimes, the nature of the relationship and the impact of the accused’s conduct on the </w:t>
      </w:r>
      <w:r w:rsidRPr="001B3304">
        <w:rPr>
          <w:szCs w:val="24"/>
        </w:rPr>
        <w:lastRenderedPageBreak/>
        <w:t xml:space="preserve">complainant’s state of mind will be evident from what an accused said or did and what the complainant said or did in response: </w:t>
      </w:r>
      <w:r w:rsidRPr="001B3304">
        <w:rPr>
          <w:i/>
          <w:iCs/>
          <w:szCs w:val="24"/>
        </w:rPr>
        <w:t xml:space="preserve">R v </w:t>
      </w:r>
      <w:proofErr w:type="spellStart"/>
      <w:r w:rsidRPr="001B3304">
        <w:rPr>
          <w:i/>
          <w:iCs/>
          <w:szCs w:val="24"/>
        </w:rPr>
        <w:t>Ochrym</w:t>
      </w:r>
      <w:proofErr w:type="spellEnd"/>
      <w:r w:rsidRPr="001B3304">
        <w:rPr>
          <w:i/>
          <w:iCs/>
          <w:szCs w:val="24"/>
        </w:rPr>
        <w:t xml:space="preserve">, </w:t>
      </w:r>
      <w:hyperlink r:id="rId184" w:history="1">
        <w:r w:rsidRPr="001B3304">
          <w:rPr>
            <w:rStyle w:val="Hyperlink"/>
            <w:szCs w:val="24"/>
          </w:rPr>
          <w:t>2021 ONCA 48</w:t>
        </w:r>
      </w:hyperlink>
    </w:p>
    <w:p w14:paraId="641939A1" w14:textId="77777777" w:rsidR="006A5A3B" w:rsidRPr="001B3304" w:rsidRDefault="006A5A3B" w:rsidP="003E1822">
      <w:pPr>
        <w:pStyle w:val="NoSpacing"/>
        <w:rPr>
          <w:szCs w:val="24"/>
        </w:rPr>
      </w:pPr>
    </w:p>
    <w:p w14:paraId="2F3A2AB3" w14:textId="35B3737A" w:rsidR="00E65E9A" w:rsidRPr="001B3304" w:rsidRDefault="009C17D4" w:rsidP="00E65E9A">
      <w:pPr>
        <w:pStyle w:val="NoSpacing"/>
        <w:rPr>
          <w:szCs w:val="24"/>
        </w:rPr>
      </w:pPr>
      <w:r w:rsidRPr="001B3304">
        <w:rPr>
          <w:szCs w:val="24"/>
        </w:rPr>
        <w:t xml:space="preserve">The criminalization of harboring, under </w:t>
      </w:r>
      <w:r w:rsidR="00E65E9A" w:rsidRPr="001B3304">
        <w:rPr>
          <w:szCs w:val="24"/>
        </w:rPr>
        <w:t>S.286.3</w:t>
      </w:r>
      <w:r w:rsidRPr="001B3304">
        <w:rPr>
          <w:szCs w:val="24"/>
        </w:rPr>
        <w:t>,</w:t>
      </w:r>
      <w:r w:rsidR="00E65E9A" w:rsidRPr="001B3304">
        <w:rPr>
          <w:szCs w:val="24"/>
        </w:rPr>
        <w:t xml:space="preserve"> </w:t>
      </w:r>
      <w:r w:rsidRPr="001B3304">
        <w:rPr>
          <w:szCs w:val="24"/>
        </w:rPr>
        <w:t>prohibits</w:t>
      </w:r>
      <w:r w:rsidR="00E65E9A" w:rsidRPr="001B3304">
        <w:rPr>
          <w:szCs w:val="24"/>
        </w:rPr>
        <w:t xml:space="preserve"> the provision by third parties of shelter, when this is being done for the purpose of facilitating an offence under s. 286.1(1) or s. 286.1(2). The provision of shelter does not have to be done clandestinely or with secrecy: </w:t>
      </w:r>
      <w:r w:rsidR="00E65E9A" w:rsidRPr="001B3304">
        <w:rPr>
          <w:i/>
          <w:iCs/>
          <w:szCs w:val="24"/>
        </w:rPr>
        <w:t xml:space="preserve">R v Joseph, </w:t>
      </w:r>
      <w:hyperlink r:id="rId185" w:history="1">
        <w:r w:rsidR="00E65E9A" w:rsidRPr="001B3304">
          <w:rPr>
            <w:rStyle w:val="Hyperlink"/>
            <w:szCs w:val="24"/>
          </w:rPr>
          <w:t>2020 ONCA 733</w:t>
        </w:r>
      </w:hyperlink>
      <w:r w:rsidR="00E65E9A" w:rsidRPr="001B3304">
        <w:rPr>
          <w:szCs w:val="24"/>
        </w:rPr>
        <w:t>, at para</w:t>
      </w:r>
      <w:r w:rsidR="00F75197" w:rsidRPr="001B3304">
        <w:rPr>
          <w:szCs w:val="24"/>
        </w:rPr>
        <w:t>s 74-92</w:t>
      </w:r>
      <w:r w:rsidR="00E65E9A" w:rsidRPr="001B3304">
        <w:rPr>
          <w:szCs w:val="24"/>
        </w:rPr>
        <w:t xml:space="preserve"> </w:t>
      </w:r>
    </w:p>
    <w:p w14:paraId="730835A1" w14:textId="77777777" w:rsidR="00E65E9A" w:rsidRPr="001B3304" w:rsidRDefault="00E65E9A" w:rsidP="003E1822">
      <w:pPr>
        <w:pStyle w:val="NoSpacing"/>
        <w:rPr>
          <w:szCs w:val="24"/>
        </w:rPr>
      </w:pPr>
    </w:p>
    <w:p w14:paraId="51E0C2DA" w14:textId="4B7F047C" w:rsidR="00F038B9" w:rsidRPr="001B3304" w:rsidRDefault="00F038B9" w:rsidP="003E1822">
      <w:pPr>
        <w:pStyle w:val="Heading2"/>
        <w:spacing w:line="276" w:lineRule="auto"/>
      </w:pPr>
      <w:bookmarkStart w:id="99" w:name="_Toc134294137"/>
      <w:r w:rsidRPr="001B3304">
        <w:t>Advertising Sexual Services: S.286.4</w:t>
      </w:r>
      <w:bookmarkEnd w:id="99"/>
    </w:p>
    <w:p w14:paraId="7D24AF1B" w14:textId="77777777" w:rsidR="00F038B9" w:rsidRPr="001B3304" w:rsidRDefault="00F038B9" w:rsidP="003E1822">
      <w:pPr>
        <w:pStyle w:val="NoSpacing"/>
        <w:rPr>
          <w:szCs w:val="24"/>
        </w:rPr>
      </w:pPr>
    </w:p>
    <w:p w14:paraId="24CBC89E" w14:textId="0797959E" w:rsidR="00F038B9" w:rsidRPr="001B3304" w:rsidRDefault="00F038B9" w:rsidP="003E1822">
      <w:pPr>
        <w:pStyle w:val="NoSpacing"/>
        <w:rPr>
          <w:szCs w:val="24"/>
        </w:rPr>
      </w:pPr>
      <w:r w:rsidRPr="001B3304">
        <w:rPr>
          <w:szCs w:val="24"/>
        </w:rPr>
        <w:t>The </w:t>
      </w:r>
      <w:r w:rsidRPr="001B3304">
        <w:rPr>
          <w:i/>
          <w:iCs/>
          <w:szCs w:val="24"/>
        </w:rPr>
        <w:t>actus reus </w:t>
      </w:r>
      <w:r w:rsidRPr="001B3304">
        <w:rPr>
          <w:szCs w:val="24"/>
        </w:rPr>
        <w:t>of this offence is made out if the accused advertised an offer to provide sexual services for consideration. The </w:t>
      </w:r>
      <w:proofErr w:type="spellStart"/>
      <w:r w:rsidRPr="001B3304">
        <w:rPr>
          <w:i/>
          <w:iCs/>
          <w:szCs w:val="24"/>
        </w:rPr>
        <w:t>mens</w:t>
      </w:r>
      <w:proofErr w:type="spellEnd"/>
      <w:r w:rsidRPr="001B3304">
        <w:rPr>
          <w:i/>
          <w:iCs/>
          <w:szCs w:val="24"/>
        </w:rPr>
        <w:t xml:space="preserve"> rea</w:t>
      </w:r>
      <w:r w:rsidRPr="001B3304">
        <w:rPr>
          <w:szCs w:val="24"/>
        </w:rPr>
        <w:t> is made out if: (</w:t>
      </w:r>
      <w:proofErr w:type="spellStart"/>
      <w:r w:rsidRPr="001B3304">
        <w:rPr>
          <w:szCs w:val="24"/>
        </w:rPr>
        <w:t>i</w:t>
      </w:r>
      <w:proofErr w:type="spellEnd"/>
      <w:r w:rsidRPr="001B3304">
        <w:rPr>
          <w:szCs w:val="24"/>
        </w:rPr>
        <w:t xml:space="preserve">) the accused intended to advertise the offer; and (ii) the accused knew that the offer was one to provide sexual services for consideration: </w:t>
      </w:r>
      <w:r w:rsidRPr="001B3304">
        <w:rPr>
          <w:i/>
          <w:iCs/>
          <w:szCs w:val="24"/>
        </w:rPr>
        <w:t xml:space="preserve">R v </w:t>
      </w:r>
      <w:proofErr w:type="spellStart"/>
      <w:r w:rsidRPr="001B3304">
        <w:rPr>
          <w:i/>
          <w:iCs/>
          <w:szCs w:val="24"/>
        </w:rPr>
        <w:t>Gallone</w:t>
      </w:r>
      <w:proofErr w:type="spellEnd"/>
      <w:r w:rsidRPr="001B3304">
        <w:rPr>
          <w:i/>
          <w:iCs/>
          <w:szCs w:val="24"/>
        </w:rPr>
        <w:t xml:space="preserve">, </w:t>
      </w:r>
      <w:hyperlink r:id="rId186" w:anchor="_ftnref1" w:history="1">
        <w:r w:rsidRPr="001B3304">
          <w:rPr>
            <w:rStyle w:val="Hyperlink"/>
            <w:szCs w:val="24"/>
          </w:rPr>
          <w:t>2019 ONCA 663</w:t>
        </w:r>
      </w:hyperlink>
      <w:r w:rsidRPr="001B3304">
        <w:rPr>
          <w:szCs w:val="24"/>
        </w:rPr>
        <w:t>, at para 78</w:t>
      </w:r>
    </w:p>
    <w:p w14:paraId="5D539308" w14:textId="6A3C826E" w:rsidR="00C34D45" w:rsidRPr="001B3304" w:rsidRDefault="00C34D45" w:rsidP="003E1822">
      <w:pPr>
        <w:pStyle w:val="NoSpacing"/>
        <w:rPr>
          <w:szCs w:val="24"/>
        </w:rPr>
      </w:pPr>
    </w:p>
    <w:p w14:paraId="46F77422" w14:textId="192A8CFC" w:rsidR="00C34D45" w:rsidRPr="001B3304" w:rsidRDefault="00C34D45" w:rsidP="003E1822">
      <w:pPr>
        <w:pStyle w:val="NoSpacing"/>
        <w:rPr>
          <w:szCs w:val="24"/>
        </w:rPr>
      </w:pPr>
      <w:r w:rsidRPr="001B3304">
        <w:rPr>
          <w:szCs w:val="24"/>
        </w:rPr>
        <w:t xml:space="preserve">The immunity provision under s.286.5 applies only to those who advertise their own sexual services and not to those who assist them: </w:t>
      </w:r>
      <w:proofErr w:type="spellStart"/>
      <w:r w:rsidRPr="001B3304">
        <w:rPr>
          <w:i/>
          <w:iCs/>
          <w:szCs w:val="24"/>
        </w:rPr>
        <w:t>Gallone</w:t>
      </w:r>
      <w:proofErr w:type="spellEnd"/>
      <w:r w:rsidRPr="001B3304">
        <w:rPr>
          <w:i/>
          <w:iCs/>
          <w:szCs w:val="24"/>
        </w:rPr>
        <w:t xml:space="preserve"> </w:t>
      </w:r>
      <w:r w:rsidRPr="001B3304">
        <w:rPr>
          <w:szCs w:val="24"/>
        </w:rPr>
        <w:t>at paras 88, 99</w:t>
      </w:r>
    </w:p>
    <w:p w14:paraId="2E649EB6" w14:textId="77777777" w:rsidR="00C34D45" w:rsidRPr="001B3304" w:rsidRDefault="00C34D45" w:rsidP="003E1822">
      <w:pPr>
        <w:pStyle w:val="NoSpacing"/>
        <w:rPr>
          <w:szCs w:val="24"/>
        </w:rPr>
      </w:pPr>
    </w:p>
    <w:p w14:paraId="484302EF" w14:textId="77777777" w:rsidR="00F038B9" w:rsidRPr="001B3304" w:rsidRDefault="00F038B9" w:rsidP="003E1822">
      <w:pPr>
        <w:spacing w:line="276" w:lineRule="auto"/>
        <w:rPr>
          <w:rFonts w:ascii="Arial" w:hAnsi="Arial" w:cs="Arial"/>
          <w:lang w:val="en-US"/>
        </w:rPr>
      </w:pPr>
    </w:p>
    <w:p w14:paraId="3431BBA2" w14:textId="067F4062" w:rsidR="00B1220F" w:rsidRPr="001B3304" w:rsidRDefault="00777315" w:rsidP="00B1220F">
      <w:pPr>
        <w:pStyle w:val="Heading1"/>
        <w:spacing w:line="276" w:lineRule="auto"/>
        <w:rPr>
          <w:rFonts w:ascii="Arial" w:hAnsi="Arial" w:cs="Arial"/>
          <w:sz w:val="24"/>
          <w:szCs w:val="24"/>
        </w:rPr>
      </w:pPr>
      <w:bookmarkStart w:id="100" w:name="_Toc134294138"/>
      <w:r w:rsidRPr="001B3304">
        <w:rPr>
          <w:rFonts w:ascii="Arial" w:hAnsi="Arial" w:cs="Arial"/>
          <w:caps w:val="0"/>
          <w:sz w:val="24"/>
          <w:szCs w:val="24"/>
        </w:rPr>
        <w:t>PART VIII.1: OFFENCES RELATING TO CONVEYANCES</w:t>
      </w:r>
      <w:bookmarkEnd w:id="100"/>
    </w:p>
    <w:p w14:paraId="648EE0E6" w14:textId="3247ADDD" w:rsidR="00B1220F" w:rsidRPr="001B3304" w:rsidRDefault="00B1220F" w:rsidP="00B1220F">
      <w:pPr>
        <w:rPr>
          <w:rFonts w:ascii="Arial" w:hAnsi="Arial" w:cs="Arial"/>
        </w:rPr>
      </w:pPr>
    </w:p>
    <w:p w14:paraId="11946AE5" w14:textId="107AC773" w:rsidR="00B1220F" w:rsidRPr="001B3304" w:rsidRDefault="00B1220F" w:rsidP="00B1220F">
      <w:pPr>
        <w:pStyle w:val="Heading2"/>
        <w:numPr>
          <w:ilvl w:val="0"/>
          <w:numId w:val="46"/>
        </w:numPr>
      </w:pPr>
      <w:bookmarkStart w:id="101" w:name="_Toc134294139"/>
      <w:r w:rsidRPr="001B3304">
        <w:t>Dangerous Driving: s.320.13</w:t>
      </w:r>
      <w:bookmarkEnd w:id="101"/>
    </w:p>
    <w:p w14:paraId="1FE21AB1" w14:textId="77777777" w:rsidR="00B1220F" w:rsidRPr="001B3304" w:rsidRDefault="00B1220F" w:rsidP="00B1220F">
      <w:pPr>
        <w:spacing w:line="276" w:lineRule="auto"/>
        <w:rPr>
          <w:rFonts w:ascii="Arial" w:hAnsi="Arial" w:cs="Arial"/>
        </w:rPr>
      </w:pPr>
    </w:p>
    <w:p w14:paraId="4026C75A" w14:textId="77777777" w:rsidR="00B1220F" w:rsidRPr="001B3304" w:rsidRDefault="00B1220F" w:rsidP="004358F8">
      <w:pPr>
        <w:pStyle w:val="Heading3"/>
        <w:numPr>
          <w:ilvl w:val="0"/>
          <w:numId w:val="45"/>
        </w:numPr>
      </w:pPr>
      <w:bookmarkStart w:id="102" w:name="_Toc134294140"/>
      <w:r w:rsidRPr="001B3304">
        <w:t>Actus Reus</w:t>
      </w:r>
      <w:bookmarkEnd w:id="102"/>
    </w:p>
    <w:p w14:paraId="2ABA9360" w14:textId="05A3916E" w:rsidR="00B1220F" w:rsidRPr="001B3304" w:rsidRDefault="00B1220F" w:rsidP="00B1220F">
      <w:pPr>
        <w:pStyle w:val="NoSpacing"/>
        <w:rPr>
          <w:szCs w:val="24"/>
        </w:rPr>
      </w:pPr>
      <w:r w:rsidRPr="001B3304">
        <w:rPr>
          <w:bCs/>
          <w:szCs w:val="24"/>
        </w:rPr>
        <w:t xml:space="preserve">The </w:t>
      </w:r>
      <w:r w:rsidRPr="001B3304">
        <w:rPr>
          <w:bCs/>
          <w:i/>
          <w:szCs w:val="24"/>
        </w:rPr>
        <w:t>actus reus</w:t>
      </w:r>
      <w:r w:rsidRPr="001B3304">
        <w:rPr>
          <w:bCs/>
          <w:szCs w:val="24"/>
        </w:rPr>
        <w:t xml:space="preserve"> of dangerous driving is whether</w:t>
      </w:r>
      <w:r w:rsidRPr="001B3304">
        <w:rPr>
          <w:szCs w:val="24"/>
        </w:rPr>
        <w:t xml:space="preserve"> the driving was dangerous to other users of the road: </w:t>
      </w:r>
      <w:r w:rsidRPr="001B3304">
        <w:rPr>
          <w:i/>
          <w:szCs w:val="24"/>
        </w:rPr>
        <w:t xml:space="preserve">R v Higgins, </w:t>
      </w:r>
      <w:hyperlink r:id="rId187" w:history="1">
        <w:r w:rsidRPr="001B3304">
          <w:rPr>
            <w:rStyle w:val="Hyperlink"/>
            <w:szCs w:val="24"/>
          </w:rPr>
          <w:t>2018 ONCA 451</w:t>
        </w:r>
      </w:hyperlink>
      <w:r w:rsidRPr="001B3304">
        <w:rPr>
          <w:szCs w:val="24"/>
        </w:rPr>
        <w:t xml:space="preserve"> at para 3</w:t>
      </w:r>
    </w:p>
    <w:p w14:paraId="52B48EE2" w14:textId="77777777" w:rsidR="00B1220F" w:rsidRPr="001B3304" w:rsidRDefault="00B1220F" w:rsidP="00B1220F">
      <w:pPr>
        <w:pStyle w:val="NoSpacing"/>
        <w:rPr>
          <w:szCs w:val="24"/>
        </w:rPr>
      </w:pPr>
    </w:p>
    <w:p w14:paraId="73DA591A" w14:textId="77777777" w:rsidR="00B1220F" w:rsidRPr="001B3304" w:rsidRDefault="00B1220F" w:rsidP="00B1220F">
      <w:pPr>
        <w:pStyle w:val="NoSpacing"/>
        <w:rPr>
          <w:szCs w:val="24"/>
        </w:rPr>
      </w:pPr>
      <w:r w:rsidRPr="001B3304">
        <w:rPr>
          <w:szCs w:val="24"/>
        </w:rPr>
        <w:t xml:space="preserve">The dangerousness inquiry must have regard to all the circumstances, including the nature, condition and use of the place at which the motor vehicle is being operated and the amount of traffic that at the time is or might reasonably be </w:t>
      </w:r>
      <w:r w:rsidRPr="001B3304">
        <w:rPr>
          <w:szCs w:val="24"/>
        </w:rPr>
        <w:lastRenderedPageBreak/>
        <w:t xml:space="preserve">expected to be at that place. The focus of the inquiry is the manner of operation of the vehicle, not the consequences of the driving: </w:t>
      </w:r>
      <w:r w:rsidRPr="001B3304">
        <w:rPr>
          <w:i/>
          <w:iCs/>
          <w:szCs w:val="24"/>
        </w:rPr>
        <w:t xml:space="preserve">R v Ibrahim, </w:t>
      </w:r>
      <w:hyperlink r:id="rId188" w:history="1">
        <w:r w:rsidRPr="001B3304">
          <w:rPr>
            <w:rStyle w:val="Hyperlink"/>
            <w:szCs w:val="24"/>
          </w:rPr>
          <w:t>2019 ONCA 631</w:t>
        </w:r>
      </w:hyperlink>
      <w:r w:rsidRPr="001B3304">
        <w:rPr>
          <w:szCs w:val="24"/>
        </w:rPr>
        <w:t>, at para 23</w:t>
      </w:r>
    </w:p>
    <w:p w14:paraId="1A9934F5" w14:textId="0C98AF59" w:rsidR="00B1220F" w:rsidRPr="001B3304" w:rsidRDefault="00B1220F" w:rsidP="00B1220F">
      <w:pPr>
        <w:pStyle w:val="NoSpacing"/>
        <w:rPr>
          <w:szCs w:val="24"/>
        </w:rPr>
      </w:pPr>
    </w:p>
    <w:p w14:paraId="588BA3ED" w14:textId="6BC86D98" w:rsidR="00263A25" w:rsidRPr="001B3304" w:rsidRDefault="00263A25" w:rsidP="00263A25">
      <w:pPr>
        <w:pStyle w:val="NoSpacing"/>
        <w:rPr>
          <w:szCs w:val="24"/>
        </w:rPr>
      </w:pPr>
      <w:r w:rsidRPr="001B3304">
        <w:rPr>
          <w:szCs w:val="24"/>
        </w:rPr>
        <w:t xml:space="preserve"> It is clear that the actus reus of the dangerous driving offence is conduct which, viewed objectively in all the circumstances, constitutes a danger to the public actually present or who may reasonably be expected to be present. While </w:t>
      </w:r>
      <w:proofErr w:type="spellStart"/>
      <w:r w:rsidRPr="001B3304">
        <w:rPr>
          <w:szCs w:val="24"/>
        </w:rPr>
        <w:t>jt</w:t>
      </w:r>
      <w:proofErr w:type="spellEnd"/>
      <w:r w:rsidRPr="001B3304">
        <w:rPr>
          <w:szCs w:val="24"/>
        </w:rPr>
        <w:t xml:space="preserve"> is the manner in which the vehicle was driven that is at issue, and not the consequences of that driving, the consequences may nonetheless assist the trier of fact in assessing the risk involved: </w:t>
      </w:r>
      <w:r w:rsidRPr="001B3304">
        <w:rPr>
          <w:i/>
          <w:iCs/>
          <w:szCs w:val="24"/>
        </w:rPr>
        <w:t xml:space="preserve">R v </w:t>
      </w:r>
      <w:proofErr w:type="spellStart"/>
      <w:r w:rsidRPr="001B3304">
        <w:rPr>
          <w:i/>
          <w:iCs/>
          <w:szCs w:val="24"/>
        </w:rPr>
        <w:t>Akthar</w:t>
      </w:r>
      <w:proofErr w:type="spellEnd"/>
      <w:r w:rsidRPr="001B3304">
        <w:rPr>
          <w:i/>
          <w:iCs/>
          <w:szCs w:val="24"/>
        </w:rPr>
        <w:t xml:space="preserve">, </w:t>
      </w:r>
      <w:hyperlink r:id="rId189" w:history="1">
        <w:r w:rsidRPr="001B3304">
          <w:rPr>
            <w:rStyle w:val="Hyperlink"/>
            <w:szCs w:val="24"/>
          </w:rPr>
          <w:t>2022 ONCA 279</w:t>
        </w:r>
      </w:hyperlink>
      <w:r w:rsidRPr="001B3304">
        <w:rPr>
          <w:szCs w:val="24"/>
        </w:rPr>
        <w:t xml:space="preserve">, at para 29 </w:t>
      </w:r>
    </w:p>
    <w:p w14:paraId="43DBD6F0" w14:textId="77777777" w:rsidR="00263A25" w:rsidRPr="001B3304" w:rsidRDefault="00263A25" w:rsidP="00263A25">
      <w:pPr>
        <w:pStyle w:val="NoSpacing"/>
        <w:rPr>
          <w:szCs w:val="24"/>
        </w:rPr>
      </w:pPr>
    </w:p>
    <w:p w14:paraId="02914DE2" w14:textId="77777777" w:rsidR="00B1220F" w:rsidRPr="001B3304" w:rsidRDefault="00B1220F" w:rsidP="004358F8">
      <w:pPr>
        <w:pStyle w:val="Heading3"/>
      </w:pPr>
      <w:bookmarkStart w:id="103" w:name="_Toc134294141"/>
      <w:proofErr w:type="spellStart"/>
      <w:r w:rsidRPr="001B3304">
        <w:t>Mens</w:t>
      </w:r>
      <w:proofErr w:type="spellEnd"/>
      <w:r w:rsidRPr="001B3304">
        <w:t xml:space="preserve"> Rea</w:t>
      </w:r>
      <w:bookmarkEnd w:id="103"/>
    </w:p>
    <w:p w14:paraId="1B659765" w14:textId="77777777" w:rsidR="00B1220F" w:rsidRPr="001B3304" w:rsidRDefault="00B1220F" w:rsidP="00B1220F">
      <w:pPr>
        <w:pStyle w:val="NoSpacing"/>
        <w:rPr>
          <w:szCs w:val="24"/>
        </w:rPr>
      </w:pPr>
    </w:p>
    <w:p w14:paraId="6F0ED8EA" w14:textId="77777777" w:rsidR="00263A25" w:rsidRPr="001B3304" w:rsidRDefault="00263A25" w:rsidP="00263A25">
      <w:pPr>
        <w:pStyle w:val="NoSpacing"/>
        <w:rPr>
          <w:szCs w:val="24"/>
        </w:rPr>
      </w:pPr>
      <w:r w:rsidRPr="001B3304">
        <w:rPr>
          <w:szCs w:val="24"/>
        </w:rPr>
        <w:t xml:space="preserve">The </w:t>
      </w:r>
      <w:proofErr w:type="spellStart"/>
      <w:r w:rsidRPr="001B3304">
        <w:rPr>
          <w:i/>
          <w:szCs w:val="24"/>
        </w:rPr>
        <w:t>mens</w:t>
      </w:r>
      <w:proofErr w:type="spellEnd"/>
      <w:r w:rsidRPr="001B3304">
        <w:rPr>
          <w:i/>
          <w:szCs w:val="24"/>
        </w:rPr>
        <w:t xml:space="preserve"> rea</w:t>
      </w:r>
      <w:r w:rsidRPr="001B3304">
        <w:rPr>
          <w:szCs w:val="24"/>
        </w:rPr>
        <w:t xml:space="preserve"> is established if the accused had a deliberate intention to create a danger for other users of the road. If not, the trier of fact can go on to consider whether the accused’s manner of driving, viewed on an objective basis, constitutes a marked departure from the standard of care of a prudent person: </w:t>
      </w:r>
      <w:r w:rsidRPr="001B3304">
        <w:rPr>
          <w:i/>
          <w:szCs w:val="24"/>
        </w:rPr>
        <w:t xml:space="preserve">R v Higgins, </w:t>
      </w:r>
      <w:hyperlink r:id="rId190" w:history="1">
        <w:r w:rsidRPr="001B3304">
          <w:rPr>
            <w:rStyle w:val="Hyperlink"/>
            <w:szCs w:val="24"/>
          </w:rPr>
          <w:t>2018 ONCA 451</w:t>
        </w:r>
      </w:hyperlink>
      <w:r w:rsidRPr="001B3304">
        <w:rPr>
          <w:szCs w:val="24"/>
        </w:rPr>
        <w:t xml:space="preserve"> at para 3</w:t>
      </w:r>
    </w:p>
    <w:p w14:paraId="69E0E006" w14:textId="77777777" w:rsidR="00263A25" w:rsidRPr="001B3304" w:rsidRDefault="00263A25" w:rsidP="00B1220F">
      <w:pPr>
        <w:pStyle w:val="NoSpacing"/>
        <w:rPr>
          <w:szCs w:val="24"/>
        </w:rPr>
      </w:pPr>
    </w:p>
    <w:p w14:paraId="236DAB54" w14:textId="27A46C71" w:rsidR="00B1220F" w:rsidRPr="001B3304" w:rsidRDefault="00B1220F" w:rsidP="00B1220F">
      <w:pPr>
        <w:pStyle w:val="NoSpacing"/>
        <w:rPr>
          <w:szCs w:val="24"/>
        </w:rPr>
      </w:pPr>
      <w:r w:rsidRPr="001B3304">
        <w:rPr>
          <w:szCs w:val="24"/>
        </w:rPr>
        <w:t>The </w:t>
      </w:r>
      <w:proofErr w:type="spellStart"/>
      <w:r w:rsidRPr="001B3304">
        <w:rPr>
          <w:i/>
          <w:iCs/>
          <w:szCs w:val="24"/>
        </w:rPr>
        <w:t>mens</w:t>
      </w:r>
      <w:proofErr w:type="spellEnd"/>
      <w:r w:rsidRPr="001B3304">
        <w:rPr>
          <w:i/>
          <w:iCs/>
          <w:szCs w:val="24"/>
        </w:rPr>
        <w:t xml:space="preserve"> rea</w:t>
      </w:r>
      <w:r w:rsidRPr="001B3304">
        <w:rPr>
          <w:szCs w:val="24"/>
        </w:rPr>
        <w:t> for dangerous driving is a modified objective test: was the degree of care exhibited by the accused a marked departure from the standard of care of a reasonable person in the accused’s circumstances? Evidence of the accused’s personal attributes, such as age, experience and education, is irrelevant unless it goes to the accused’s incapacity to appreciate or avoid the risk. C</w:t>
      </w:r>
      <w:r w:rsidRPr="001B3304">
        <w:rPr>
          <w:rFonts w:eastAsia="Times New Roman"/>
          <w:color w:val="000000"/>
          <w:szCs w:val="24"/>
        </w:rPr>
        <w:t xml:space="preserve">riminal fault can be based on the voluntary undertaking of the activity, the presumed capacity to properly do so, and the failure to meet the requisite standard of care: </w:t>
      </w:r>
      <w:r w:rsidRPr="001B3304">
        <w:rPr>
          <w:i/>
          <w:szCs w:val="24"/>
        </w:rPr>
        <w:t xml:space="preserve">R v Brown, </w:t>
      </w:r>
      <w:hyperlink r:id="rId191" w:history="1">
        <w:r w:rsidRPr="001B3304">
          <w:rPr>
            <w:rStyle w:val="Hyperlink"/>
            <w:szCs w:val="24"/>
          </w:rPr>
          <w:t>2018 ONCA 814</w:t>
        </w:r>
      </w:hyperlink>
      <w:r w:rsidRPr="001B3304">
        <w:rPr>
          <w:szCs w:val="24"/>
        </w:rPr>
        <w:t xml:space="preserve"> at paras 6</w:t>
      </w:r>
    </w:p>
    <w:p w14:paraId="41527162" w14:textId="77777777" w:rsidR="00B1220F" w:rsidRPr="001B3304" w:rsidRDefault="00B1220F" w:rsidP="00B1220F">
      <w:pPr>
        <w:pStyle w:val="NoSpacing"/>
        <w:rPr>
          <w:szCs w:val="24"/>
        </w:rPr>
      </w:pPr>
    </w:p>
    <w:p w14:paraId="12D49B77" w14:textId="0B1EA93D" w:rsidR="00B1220F" w:rsidRPr="001B3304" w:rsidRDefault="00B1220F" w:rsidP="00B1220F">
      <w:pPr>
        <w:pStyle w:val="NoSpacing"/>
        <w:rPr>
          <w:szCs w:val="24"/>
        </w:rPr>
      </w:pPr>
      <w:r w:rsidRPr="001B3304">
        <w:rPr>
          <w:szCs w:val="24"/>
        </w:rPr>
        <w:t>In considering the issue of the fault element, it is helpful to ask two questions. The first is whether, in light of all the relevant evidence, a reasonable person would have foreseen the risk and taken steps to avoid it if possible. If the answer to the first question is “yes”, the second question is whether the accused’s failure to foresee the risk and take steps to avoid it, if possible, was a marked departure from the standard of care expected of a reasonable person in equivalent circumstances</w:t>
      </w:r>
      <w:r w:rsidR="00777315" w:rsidRPr="001B3304">
        <w:rPr>
          <w:szCs w:val="24"/>
        </w:rPr>
        <w:t>.</w:t>
      </w:r>
    </w:p>
    <w:p w14:paraId="324F45B4" w14:textId="77777777" w:rsidR="00777315" w:rsidRPr="001B3304" w:rsidRDefault="00777315" w:rsidP="00B1220F">
      <w:pPr>
        <w:pStyle w:val="NoSpacing"/>
        <w:rPr>
          <w:szCs w:val="24"/>
        </w:rPr>
      </w:pPr>
    </w:p>
    <w:p w14:paraId="015CD610" w14:textId="77777777" w:rsidR="00B1220F" w:rsidRPr="001B3304" w:rsidRDefault="00B1220F" w:rsidP="00B1220F">
      <w:pPr>
        <w:pStyle w:val="NoSpacing"/>
        <w:rPr>
          <w:szCs w:val="24"/>
        </w:rPr>
      </w:pPr>
      <w:r w:rsidRPr="001B3304">
        <w:rPr>
          <w:szCs w:val="24"/>
        </w:rPr>
        <w:t>As a general rule, a trier of fact may infer the required objective fault element or </w:t>
      </w:r>
      <w:proofErr w:type="spellStart"/>
      <w:r w:rsidRPr="001B3304">
        <w:rPr>
          <w:i/>
          <w:iCs/>
          <w:szCs w:val="24"/>
        </w:rPr>
        <w:t>mens</w:t>
      </w:r>
      <w:proofErr w:type="spellEnd"/>
      <w:r w:rsidRPr="001B3304">
        <w:rPr>
          <w:i/>
          <w:iCs/>
          <w:szCs w:val="24"/>
        </w:rPr>
        <w:t xml:space="preserve"> rea </w:t>
      </w:r>
      <w:r w:rsidRPr="001B3304">
        <w:rPr>
          <w:szCs w:val="24"/>
        </w:rPr>
        <w:t>from the fact that an accused drove in a manner that constituted a </w:t>
      </w:r>
      <w:r w:rsidRPr="001B3304">
        <w:rPr>
          <w:i/>
          <w:iCs/>
          <w:szCs w:val="24"/>
        </w:rPr>
        <w:t>marked departure </w:t>
      </w:r>
      <w:r w:rsidRPr="001B3304">
        <w:rPr>
          <w:szCs w:val="24"/>
        </w:rPr>
        <w:t xml:space="preserve">from the norm. But this is an inference, not a presumption. </w:t>
      </w:r>
      <w:r w:rsidRPr="001B3304">
        <w:rPr>
          <w:szCs w:val="24"/>
        </w:rPr>
        <w:lastRenderedPageBreak/>
        <w:t xml:space="preserve">And even where the manner of driving is a marked departure from the norm, the trier of fact must examine all the circumstances to decide whether it is appropriate to draw the inference of fault from the manner of driving: </w:t>
      </w:r>
      <w:r w:rsidRPr="001B3304">
        <w:rPr>
          <w:i/>
          <w:iCs/>
          <w:szCs w:val="24"/>
        </w:rPr>
        <w:t xml:space="preserve">R v </w:t>
      </w:r>
      <w:proofErr w:type="spellStart"/>
      <w:r w:rsidRPr="001B3304">
        <w:rPr>
          <w:i/>
          <w:iCs/>
          <w:szCs w:val="24"/>
        </w:rPr>
        <w:t>Stennett</w:t>
      </w:r>
      <w:proofErr w:type="spellEnd"/>
      <w:r w:rsidRPr="001B3304">
        <w:rPr>
          <w:i/>
          <w:iCs/>
          <w:szCs w:val="24"/>
        </w:rPr>
        <w:t xml:space="preserve">, </w:t>
      </w:r>
      <w:hyperlink r:id="rId192" w:history="1">
        <w:r w:rsidRPr="001B3304">
          <w:rPr>
            <w:rStyle w:val="Hyperlink"/>
            <w:szCs w:val="24"/>
          </w:rPr>
          <w:t>2021 ONCA 258</w:t>
        </w:r>
      </w:hyperlink>
      <w:r w:rsidRPr="001B3304">
        <w:rPr>
          <w:szCs w:val="24"/>
        </w:rPr>
        <w:t>, at paras 91-92</w:t>
      </w:r>
    </w:p>
    <w:p w14:paraId="618CCF45" w14:textId="77777777" w:rsidR="00B1220F" w:rsidRPr="001B3304" w:rsidRDefault="00B1220F" w:rsidP="00B1220F">
      <w:pPr>
        <w:pStyle w:val="NoSpacing"/>
        <w:rPr>
          <w:szCs w:val="24"/>
        </w:rPr>
      </w:pPr>
    </w:p>
    <w:p w14:paraId="71F87164" w14:textId="77777777" w:rsidR="00B1220F" w:rsidRPr="001B3304" w:rsidRDefault="00B1220F" w:rsidP="00B1220F">
      <w:pPr>
        <w:pStyle w:val="NoSpacing"/>
        <w:rPr>
          <w:szCs w:val="24"/>
        </w:rPr>
      </w:pPr>
      <w:r w:rsidRPr="001B3304">
        <w:rPr>
          <w:szCs w:val="24"/>
        </w:rPr>
        <w:t xml:space="preserve">The </w:t>
      </w:r>
      <w:proofErr w:type="spellStart"/>
      <w:r w:rsidRPr="001B3304">
        <w:rPr>
          <w:szCs w:val="24"/>
        </w:rPr>
        <w:t>Mens</w:t>
      </w:r>
      <w:proofErr w:type="spellEnd"/>
      <w:r w:rsidRPr="001B3304">
        <w:rPr>
          <w:szCs w:val="24"/>
        </w:rPr>
        <w:t xml:space="preserve"> Rea of dangerous driving must not focus on the consequences of the driving.  It is the manner in which the motor vehicle was operated that is at issue, not the consequences of the driving. The consequences, such as bodily harm, may make the offence more serious. But the consequences have no say on whether the offence of dangerous operation has been established: </w:t>
      </w:r>
      <w:r w:rsidRPr="001B3304">
        <w:rPr>
          <w:i/>
          <w:iCs/>
          <w:szCs w:val="24"/>
        </w:rPr>
        <w:t xml:space="preserve">R v Markos, </w:t>
      </w:r>
      <w:hyperlink r:id="rId193" w:history="1">
        <w:r w:rsidRPr="001B3304">
          <w:rPr>
            <w:rStyle w:val="Hyperlink"/>
            <w:iCs/>
            <w:szCs w:val="24"/>
          </w:rPr>
          <w:t>2019 ONCA 80</w:t>
        </w:r>
      </w:hyperlink>
      <w:r w:rsidRPr="001B3304">
        <w:rPr>
          <w:iCs/>
          <w:szCs w:val="24"/>
        </w:rPr>
        <w:t xml:space="preserve">, at para 9; </w:t>
      </w:r>
      <w:r w:rsidRPr="001B3304">
        <w:rPr>
          <w:i/>
          <w:iCs/>
          <w:szCs w:val="24"/>
        </w:rPr>
        <w:t xml:space="preserve">R v </w:t>
      </w:r>
      <w:proofErr w:type="spellStart"/>
      <w:r w:rsidRPr="001B3304">
        <w:rPr>
          <w:i/>
          <w:iCs/>
          <w:szCs w:val="24"/>
        </w:rPr>
        <w:t>Stennett</w:t>
      </w:r>
      <w:proofErr w:type="spellEnd"/>
      <w:r w:rsidRPr="001B3304">
        <w:rPr>
          <w:i/>
          <w:iCs/>
          <w:szCs w:val="24"/>
        </w:rPr>
        <w:t xml:space="preserve">, </w:t>
      </w:r>
      <w:hyperlink r:id="rId194" w:history="1">
        <w:r w:rsidRPr="001B3304">
          <w:rPr>
            <w:rStyle w:val="Hyperlink"/>
            <w:szCs w:val="24"/>
          </w:rPr>
          <w:t>2021 ONCA 258</w:t>
        </w:r>
      </w:hyperlink>
      <w:r w:rsidRPr="001B3304">
        <w:rPr>
          <w:szCs w:val="24"/>
        </w:rPr>
        <w:t>, at para 87</w:t>
      </w:r>
    </w:p>
    <w:p w14:paraId="63230123" w14:textId="77777777" w:rsidR="00B1220F" w:rsidRPr="001B3304" w:rsidRDefault="00B1220F" w:rsidP="00B1220F">
      <w:pPr>
        <w:pStyle w:val="NoSpacing"/>
        <w:rPr>
          <w:iCs/>
          <w:szCs w:val="24"/>
        </w:rPr>
      </w:pPr>
    </w:p>
    <w:p w14:paraId="50EF86A3" w14:textId="77777777" w:rsidR="00B1220F" w:rsidRPr="001B3304" w:rsidRDefault="00B1220F" w:rsidP="00B1220F">
      <w:pPr>
        <w:pStyle w:val="NoSpacing"/>
        <w:rPr>
          <w:szCs w:val="24"/>
        </w:rPr>
      </w:pPr>
      <w:r w:rsidRPr="001B3304">
        <w:rPr>
          <w:szCs w:val="24"/>
        </w:rPr>
        <w:t xml:space="preserve">However, the law does not proscribe all reference to the consequences of the driving in considering a dangerous driving charge. It permits consideration of the consequences to assist in assessing, or to verify, the risk involved. It recognizes that in some circumstances, the actions of the accused and the consequences flowing from them may be so interwoven that the consequences may be relevant in characterizing the conduct of the accused: </w:t>
      </w:r>
      <w:r w:rsidRPr="001B3304">
        <w:rPr>
          <w:i/>
          <w:iCs/>
          <w:szCs w:val="24"/>
        </w:rPr>
        <w:t xml:space="preserve">R v Romano, </w:t>
      </w:r>
      <w:hyperlink r:id="rId195" w:history="1">
        <w:r w:rsidRPr="001B3304">
          <w:rPr>
            <w:rStyle w:val="Hyperlink"/>
            <w:szCs w:val="24"/>
          </w:rPr>
          <w:t>2021 ONCA 211</w:t>
        </w:r>
      </w:hyperlink>
      <w:r w:rsidRPr="001B3304">
        <w:rPr>
          <w:szCs w:val="24"/>
        </w:rPr>
        <w:t xml:space="preserve">, at para 46; see also </w:t>
      </w:r>
      <w:r w:rsidRPr="001B3304">
        <w:rPr>
          <w:i/>
          <w:iCs/>
          <w:szCs w:val="24"/>
        </w:rPr>
        <w:t xml:space="preserve">R v </w:t>
      </w:r>
      <w:proofErr w:type="spellStart"/>
      <w:r w:rsidRPr="001B3304">
        <w:rPr>
          <w:i/>
          <w:iCs/>
          <w:szCs w:val="24"/>
        </w:rPr>
        <w:t>Stennett</w:t>
      </w:r>
      <w:proofErr w:type="spellEnd"/>
      <w:r w:rsidRPr="001B3304">
        <w:rPr>
          <w:i/>
          <w:iCs/>
          <w:szCs w:val="24"/>
        </w:rPr>
        <w:t xml:space="preserve">, </w:t>
      </w:r>
      <w:hyperlink r:id="rId196" w:history="1">
        <w:r w:rsidRPr="001B3304">
          <w:rPr>
            <w:rStyle w:val="Hyperlink"/>
            <w:szCs w:val="24"/>
          </w:rPr>
          <w:t>2021 ONCA 258</w:t>
        </w:r>
      </w:hyperlink>
      <w:r w:rsidRPr="001B3304">
        <w:rPr>
          <w:szCs w:val="24"/>
        </w:rPr>
        <w:t xml:space="preserve">, at para 88 </w:t>
      </w:r>
    </w:p>
    <w:p w14:paraId="100CFCC6" w14:textId="77777777" w:rsidR="00B1220F" w:rsidRPr="001B3304" w:rsidRDefault="00B1220F" w:rsidP="00B1220F">
      <w:pPr>
        <w:pStyle w:val="NoSpacing"/>
        <w:rPr>
          <w:szCs w:val="24"/>
        </w:rPr>
      </w:pPr>
    </w:p>
    <w:p w14:paraId="5D49FE70" w14:textId="77777777" w:rsidR="00B1220F" w:rsidRPr="001B3304" w:rsidRDefault="00B1220F" w:rsidP="00B1220F">
      <w:pPr>
        <w:pStyle w:val="NoSpacing"/>
        <w:rPr>
          <w:szCs w:val="24"/>
        </w:rPr>
      </w:pPr>
    </w:p>
    <w:p w14:paraId="7AB2E59A" w14:textId="77777777" w:rsidR="00B1220F" w:rsidRPr="001B3304" w:rsidRDefault="00B1220F" w:rsidP="00B1220F">
      <w:pPr>
        <w:pStyle w:val="NoSpacing"/>
        <w:rPr>
          <w:szCs w:val="24"/>
        </w:rPr>
      </w:pPr>
      <w:r w:rsidRPr="001B3304">
        <w:rPr>
          <w:szCs w:val="24"/>
        </w:rPr>
        <w:t> The offence of dangerous driving is not proved by showing only that the accused drove in a manner that was dangerous to the public.  There is a fault element.  The Crown must prove that the manner of driving amounted to a marked departure from the standard of care that a reasonable person would observe if placed in the circumstances in which the accused found himself.  The fault component of dangerous driving focuses on the conduct of the accused and is intended to distinguish driving that is sufficiently egregious in all of the circumstances to warrant criminalization from other less serious forms of bad driving, such as careless driving.</w:t>
      </w:r>
    </w:p>
    <w:p w14:paraId="3C1F39C2" w14:textId="77777777" w:rsidR="00B1220F" w:rsidRPr="001B3304" w:rsidRDefault="00B1220F" w:rsidP="00B1220F">
      <w:pPr>
        <w:pStyle w:val="NoSpacing"/>
        <w:rPr>
          <w:szCs w:val="24"/>
        </w:rPr>
      </w:pPr>
    </w:p>
    <w:p w14:paraId="14F7A836" w14:textId="77777777" w:rsidR="00B1220F" w:rsidRPr="001B3304" w:rsidRDefault="00B1220F" w:rsidP="00B1220F">
      <w:pPr>
        <w:pStyle w:val="NoSpacing"/>
        <w:rPr>
          <w:iCs/>
          <w:szCs w:val="24"/>
        </w:rPr>
      </w:pPr>
      <w:r w:rsidRPr="001B3304">
        <w:rPr>
          <w:szCs w:val="24"/>
        </w:rPr>
        <w:t>Where a trial judge finds that the driving is dangerous in all of the circumstances, s/he must still engage in a similar analysis of the evidence as it related to the </w:t>
      </w:r>
      <w:proofErr w:type="spellStart"/>
      <w:r w:rsidRPr="001B3304">
        <w:rPr>
          <w:i/>
          <w:iCs/>
          <w:szCs w:val="24"/>
        </w:rPr>
        <w:t>mens</w:t>
      </w:r>
      <w:proofErr w:type="spellEnd"/>
      <w:r w:rsidRPr="001B3304">
        <w:rPr>
          <w:i/>
          <w:iCs/>
          <w:szCs w:val="24"/>
        </w:rPr>
        <w:t xml:space="preserve"> rea</w:t>
      </w:r>
      <w:r w:rsidRPr="001B3304">
        <w:rPr>
          <w:szCs w:val="24"/>
        </w:rPr>
        <w:t> issue.  It is an error of law for the trial judge to concluded that the act of driving dangerously necessarily constituted a marked departure from what a reasonable person would expect in the circumstances.  The trial judge must identify the how and in what way the accused’s driving went beyond negligence or carelessness and reached the level of a marked departure from the standard of care that a reasonable person would show in the same position: </w:t>
      </w:r>
      <w:r w:rsidRPr="001B3304">
        <w:rPr>
          <w:i/>
          <w:iCs/>
          <w:szCs w:val="24"/>
        </w:rPr>
        <w:t xml:space="preserve">R v </w:t>
      </w:r>
      <w:proofErr w:type="spellStart"/>
      <w:r w:rsidRPr="001B3304">
        <w:rPr>
          <w:i/>
          <w:iCs/>
          <w:szCs w:val="24"/>
        </w:rPr>
        <w:t>Laverdure</w:t>
      </w:r>
      <w:proofErr w:type="spellEnd"/>
      <w:r w:rsidRPr="001B3304">
        <w:rPr>
          <w:i/>
          <w:iCs/>
          <w:szCs w:val="24"/>
        </w:rPr>
        <w:t xml:space="preserve">, </w:t>
      </w:r>
      <w:hyperlink r:id="rId197" w:history="1">
        <w:r w:rsidRPr="001B3304">
          <w:rPr>
            <w:rStyle w:val="Hyperlink"/>
            <w:rFonts w:eastAsia="Times New Roman"/>
            <w:iCs/>
            <w:szCs w:val="24"/>
          </w:rPr>
          <w:t>2018 ONCA 614</w:t>
        </w:r>
      </w:hyperlink>
      <w:r w:rsidRPr="001B3304">
        <w:rPr>
          <w:iCs/>
          <w:szCs w:val="24"/>
        </w:rPr>
        <w:t xml:space="preserve"> at paras 23, 25</w:t>
      </w:r>
    </w:p>
    <w:p w14:paraId="7BFCE632" w14:textId="77777777" w:rsidR="00B1220F" w:rsidRPr="001B3304" w:rsidRDefault="00B1220F" w:rsidP="00B1220F">
      <w:pPr>
        <w:pStyle w:val="NoSpacing"/>
        <w:rPr>
          <w:szCs w:val="24"/>
        </w:rPr>
      </w:pPr>
    </w:p>
    <w:p w14:paraId="3018106A" w14:textId="77777777" w:rsidR="00B1220F" w:rsidRPr="001B3304" w:rsidRDefault="00B1220F" w:rsidP="00B1220F">
      <w:pPr>
        <w:pStyle w:val="NoSpacing"/>
        <w:rPr>
          <w:i/>
          <w:iCs/>
          <w:szCs w:val="24"/>
        </w:rPr>
      </w:pPr>
      <w:r w:rsidRPr="001B3304">
        <w:rPr>
          <w:szCs w:val="24"/>
        </w:rPr>
        <w:t>Momentary excessive speeding on its own can establish the </w:t>
      </w:r>
      <w:proofErr w:type="spellStart"/>
      <w:r w:rsidRPr="001B3304">
        <w:rPr>
          <w:i/>
          <w:iCs/>
          <w:szCs w:val="24"/>
        </w:rPr>
        <w:t>mens</w:t>
      </w:r>
      <w:proofErr w:type="spellEnd"/>
      <w:r w:rsidRPr="001B3304">
        <w:rPr>
          <w:i/>
          <w:iCs/>
          <w:szCs w:val="24"/>
        </w:rPr>
        <w:t xml:space="preserve"> rea</w:t>
      </w:r>
      <w:r w:rsidRPr="001B3304">
        <w:rPr>
          <w:szCs w:val="24"/>
        </w:rPr>
        <w:t> for dangerous driving where, having regard to all the circumstances, it supports an inference that the driving was the result of a marked departure from the standard of care that a reasonable person in the same circumstances would have exhibited. The focus should not be on the monetary nature of the driving, but on whether a reasonable person would foresee the dangers to the public from the momentary conduct. The duration and nature of the accused’s conduct are only some of the factors to be considered with all of the circumstances in the </w:t>
      </w:r>
      <w:proofErr w:type="spellStart"/>
      <w:r w:rsidRPr="001B3304">
        <w:rPr>
          <w:szCs w:val="24"/>
        </w:rPr>
        <w:t>mens</w:t>
      </w:r>
      <w:proofErr w:type="spellEnd"/>
      <w:r w:rsidRPr="001B3304">
        <w:rPr>
          <w:szCs w:val="24"/>
        </w:rPr>
        <w:t xml:space="preserve"> rea analysis: </w:t>
      </w:r>
      <w:r w:rsidRPr="001B3304">
        <w:rPr>
          <w:i/>
          <w:iCs/>
          <w:szCs w:val="24"/>
        </w:rPr>
        <w:t xml:space="preserve">R v Chung, </w:t>
      </w:r>
      <w:hyperlink r:id="rId198" w:history="1">
        <w:r w:rsidRPr="001B3304">
          <w:rPr>
            <w:rStyle w:val="Hyperlink"/>
            <w:szCs w:val="24"/>
          </w:rPr>
          <w:t>2020 SCC 8</w:t>
        </w:r>
      </w:hyperlink>
      <w:r w:rsidRPr="001B3304">
        <w:rPr>
          <w:szCs w:val="24"/>
        </w:rPr>
        <w:t xml:space="preserve">, at paras 19, 21, 23, 27; </w:t>
      </w:r>
      <w:r w:rsidRPr="001B3304">
        <w:rPr>
          <w:i/>
          <w:iCs/>
          <w:szCs w:val="24"/>
        </w:rPr>
        <w:t xml:space="preserve">R v </w:t>
      </w:r>
      <w:proofErr w:type="spellStart"/>
      <w:r w:rsidRPr="001B3304">
        <w:rPr>
          <w:i/>
          <w:iCs/>
          <w:szCs w:val="24"/>
        </w:rPr>
        <w:t>Stennett</w:t>
      </w:r>
      <w:proofErr w:type="spellEnd"/>
      <w:r w:rsidRPr="001B3304">
        <w:rPr>
          <w:i/>
          <w:iCs/>
          <w:szCs w:val="24"/>
        </w:rPr>
        <w:t xml:space="preserve">, </w:t>
      </w:r>
      <w:hyperlink r:id="rId199" w:history="1">
        <w:r w:rsidRPr="001B3304">
          <w:rPr>
            <w:rStyle w:val="Hyperlink"/>
            <w:szCs w:val="24"/>
          </w:rPr>
          <w:t>2021 ONCA 258</w:t>
        </w:r>
      </w:hyperlink>
      <w:r w:rsidRPr="001B3304">
        <w:rPr>
          <w:szCs w:val="24"/>
        </w:rPr>
        <w:t>, at para 93</w:t>
      </w:r>
    </w:p>
    <w:p w14:paraId="263A7CEA" w14:textId="77777777" w:rsidR="00B1220F" w:rsidRPr="001B3304" w:rsidRDefault="00B1220F" w:rsidP="00B1220F">
      <w:pPr>
        <w:pStyle w:val="NoSpacing"/>
        <w:rPr>
          <w:szCs w:val="24"/>
        </w:rPr>
      </w:pPr>
    </w:p>
    <w:p w14:paraId="2CD6DEA6" w14:textId="6FE5DAF6" w:rsidR="00B1220F" w:rsidRPr="001B3304" w:rsidRDefault="00B1220F" w:rsidP="00B1220F">
      <w:pPr>
        <w:pStyle w:val="NoSpacing"/>
        <w:rPr>
          <w:szCs w:val="24"/>
        </w:rPr>
      </w:pPr>
      <w:r w:rsidRPr="001B3304">
        <w:rPr>
          <w:szCs w:val="24"/>
        </w:rPr>
        <w:t>More than carelessness, negligence, momentary lapses of attention, or understandable misjudgment is require</w:t>
      </w:r>
      <w:r w:rsidR="00263A25" w:rsidRPr="001B3304">
        <w:rPr>
          <w:szCs w:val="24"/>
        </w:rPr>
        <w:t>d</w:t>
      </w:r>
      <w:r w:rsidRPr="001B3304">
        <w:rPr>
          <w:szCs w:val="24"/>
        </w:rPr>
        <w:t xml:space="preserve">: </w:t>
      </w:r>
      <w:r w:rsidRPr="001B3304">
        <w:rPr>
          <w:i/>
          <w:iCs/>
          <w:szCs w:val="24"/>
        </w:rPr>
        <w:t xml:space="preserve">R v Romano, </w:t>
      </w:r>
      <w:hyperlink r:id="rId200" w:history="1">
        <w:r w:rsidRPr="001B3304">
          <w:rPr>
            <w:rStyle w:val="Hyperlink"/>
            <w:szCs w:val="24"/>
          </w:rPr>
          <w:t>2021 ONCA 211</w:t>
        </w:r>
      </w:hyperlink>
      <w:r w:rsidRPr="001B3304">
        <w:rPr>
          <w:szCs w:val="24"/>
        </w:rPr>
        <w:t>, at para 54</w:t>
      </w:r>
      <w:r w:rsidR="00263A25" w:rsidRPr="001B3304">
        <w:rPr>
          <w:szCs w:val="24"/>
        </w:rPr>
        <w:t xml:space="preserve">; </w:t>
      </w:r>
      <w:r w:rsidR="00263A25" w:rsidRPr="001B3304">
        <w:rPr>
          <w:i/>
          <w:iCs/>
          <w:szCs w:val="24"/>
        </w:rPr>
        <w:t xml:space="preserve">R v </w:t>
      </w:r>
      <w:proofErr w:type="spellStart"/>
      <w:r w:rsidR="00263A25" w:rsidRPr="001B3304">
        <w:rPr>
          <w:i/>
          <w:iCs/>
          <w:szCs w:val="24"/>
        </w:rPr>
        <w:t>Akthar</w:t>
      </w:r>
      <w:proofErr w:type="spellEnd"/>
      <w:r w:rsidR="00263A25" w:rsidRPr="001B3304">
        <w:rPr>
          <w:i/>
          <w:iCs/>
          <w:szCs w:val="24"/>
        </w:rPr>
        <w:t xml:space="preserve">, </w:t>
      </w:r>
      <w:hyperlink r:id="rId201" w:history="1">
        <w:r w:rsidR="00263A25" w:rsidRPr="001B3304">
          <w:rPr>
            <w:rStyle w:val="Hyperlink"/>
            <w:szCs w:val="24"/>
          </w:rPr>
          <w:t>2022 ONCA 279</w:t>
        </w:r>
      </w:hyperlink>
      <w:r w:rsidR="00263A25" w:rsidRPr="001B3304">
        <w:rPr>
          <w:szCs w:val="24"/>
        </w:rPr>
        <w:t xml:space="preserve">, at para 30 </w:t>
      </w:r>
    </w:p>
    <w:p w14:paraId="4A283E47" w14:textId="032152F0" w:rsidR="00B1220F" w:rsidRPr="001B3304" w:rsidRDefault="00B1220F" w:rsidP="00B1220F">
      <w:pPr>
        <w:pStyle w:val="NoSpacing"/>
        <w:rPr>
          <w:szCs w:val="24"/>
        </w:rPr>
      </w:pPr>
    </w:p>
    <w:p w14:paraId="30777843" w14:textId="289E06C8" w:rsidR="00263A25" w:rsidRPr="001B3304" w:rsidRDefault="00263A25" w:rsidP="00263A25">
      <w:pPr>
        <w:pStyle w:val="NoSpacing"/>
        <w:rPr>
          <w:szCs w:val="24"/>
        </w:rPr>
      </w:pPr>
      <w:r w:rsidRPr="001B3304">
        <w:rPr>
          <w:szCs w:val="24"/>
        </w:rPr>
        <w:t xml:space="preserve">It is not an error of law for a judge to use words other than “marked” to describe the level of departure from the standard of care that a reasonable person would observe in the accused’s situation as long as the word is truly a synonym: </w:t>
      </w:r>
      <w:r w:rsidRPr="001B3304">
        <w:rPr>
          <w:i/>
          <w:iCs/>
          <w:szCs w:val="24"/>
        </w:rPr>
        <w:t xml:space="preserve">R v </w:t>
      </w:r>
      <w:proofErr w:type="spellStart"/>
      <w:r w:rsidRPr="001B3304">
        <w:rPr>
          <w:i/>
          <w:iCs/>
          <w:szCs w:val="24"/>
        </w:rPr>
        <w:t>Akthar</w:t>
      </w:r>
      <w:proofErr w:type="spellEnd"/>
      <w:r w:rsidRPr="001B3304">
        <w:rPr>
          <w:i/>
          <w:iCs/>
          <w:szCs w:val="24"/>
        </w:rPr>
        <w:t xml:space="preserve">, </w:t>
      </w:r>
      <w:hyperlink r:id="rId202" w:history="1">
        <w:r w:rsidRPr="001B3304">
          <w:rPr>
            <w:rStyle w:val="Hyperlink"/>
            <w:szCs w:val="24"/>
          </w:rPr>
          <w:t>2022 ONCA 279</w:t>
        </w:r>
      </w:hyperlink>
      <w:r w:rsidRPr="001B3304">
        <w:rPr>
          <w:szCs w:val="24"/>
        </w:rPr>
        <w:t>, at para 34</w:t>
      </w:r>
    </w:p>
    <w:p w14:paraId="5176E1D9" w14:textId="77777777" w:rsidR="00263A25" w:rsidRPr="001B3304" w:rsidRDefault="00263A25" w:rsidP="00263A25">
      <w:pPr>
        <w:pStyle w:val="NoSpacing"/>
        <w:rPr>
          <w:szCs w:val="24"/>
        </w:rPr>
      </w:pPr>
    </w:p>
    <w:p w14:paraId="04E9F793" w14:textId="77777777" w:rsidR="00B1220F" w:rsidRPr="001B3304" w:rsidRDefault="00B1220F" w:rsidP="004358F8">
      <w:pPr>
        <w:pStyle w:val="Heading3"/>
      </w:pPr>
      <w:bookmarkStart w:id="104" w:name="_Toc134294142"/>
      <w:r w:rsidRPr="001B3304">
        <w:t>Analyzing the Evidence</w:t>
      </w:r>
      <w:bookmarkEnd w:id="104"/>
    </w:p>
    <w:p w14:paraId="1ECB6459" w14:textId="77777777" w:rsidR="00B1220F" w:rsidRPr="001B3304" w:rsidRDefault="00B1220F" w:rsidP="00B1220F">
      <w:pPr>
        <w:pStyle w:val="NoSpacing"/>
        <w:rPr>
          <w:szCs w:val="24"/>
        </w:rPr>
      </w:pPr>
    </w:p>
    <w:p w14:paraId="7BD568AB" w14:textId="77777777" w:rsidR="00B1220F" w:rsidRPr="001B3304" w:rsidRDefault="00B1220F" w:rsidP="00B1220F">
      <w:pPr>
        <w:pStyle w:val="NoSpacing"/>
        <w:rPr>
          <w:szCs w:val="24"/>
        </w:rPr>
      </w:pPr>
      <w:r w:rsidRPr="001B3304">
        <w:rPr>
          <w:szCs w:val="24"/>
        </w:rPr>
        <w:t xml:space="preserve">Under both the </w:t>
      </w:r>
      <w:r w:rsidRPr="001B3304">
        <w:rPr>
          <w:i/>
          <w:iCs/>
          <w:szCs w:val="24"/>
        </w:rPr>
        <w:t xml:space="preserve">actus reus </w:t>
      </w:r>
      <w:r w:rsidRPr="001B3304">
        <w:rPr>
          <w:szCs w:val="24"/>
        </w:rPr>
        <w:t>ands </w:t>
      </w:r>
      <w:proofErr w:type="spellStart"/>
      <w:r w:rsidRPr="001B3304">
        <w:rPr>
          <w:i/>
          <w:iCs/>
          <w:szCs w:val="24"/>
        </w:rPr>
        <w:t>mens</w:t>
      </w:r>
      <w:proofErr w:type="spellEnd"/>
      <w:r w:rsidRPr="001B3304">
        <w:rPr>
          <w:i/>
          <w:iCs/>
          <w:szCs w:val="24"/>
        </w:rPr>
        <w:t xml:space="preserve"> rea</w:t>
      </w:r>
      <w:r w:rsidRPr="001B3304">
        <w:rPr>
          <w:szCs w:val="24"/>
        </w:rPr>
        <w:t xml:space="preserve"> component of the offence, evidence of the accused’s state of mind and explanations offered by the accused should be considered by the trier of fact.  if an explanation is offered by the accused, then in order to convict, the trier of fact must be satisfied that a reasonable person in similar circumstances ought to have been aware of the risk and of the danger involved in the conduct manifested by the accused: </w:t>
      </w:r>
      <w:r w:rsidRPr="001B3304">
        <w:rPr>
          <w:i/>
          <w:iCs/>
          <w:szCs w:val="24"/>
        </w:rPr>
        <w:t xml:space="preserve">R v Ibrahim, </w:t>
      </w:r>
      <w:hyperlink r:id="rId203" w:history="1">
        <w:r w:rsidRPr="001B3304">
          <w:rPr>
            <w:rStyle w:val="Hyperlink"/>
            <w:szCs w:val="24"/>
          </w:rPr>
          <w:t>2019 ONCA 631</w:t>
        </w:r>
      </w:hyperlink>
      <w:r w:rsidRPr="001B3304">
        <w:rPr>
          <w:szCs w:val="24"/>
        </w:rPr>
        <w:t>, at paras 28-34, 48</w:t>
      </w:r>
    </w:p>
    <w:p w14:paraId="451D6D1E" w14:textId="77777777" w:rsidR="00B1220F" w:rsidRPr="001B3304" w:rsidRDefault="00B1220F" w:rsidP="00B1220F">
      <w:pPr>
        <w:pStyle w:val="NoSpacing"/>
        <w:rPr>
          <w:szCs w:val="24"/>
        </w:rPr>
      </w:pPr>
    </w:p>
    <w:p w14:paraId="14F001A0" w14:textId="77777777" w:rsidR="00B1220F" w:rsidRPr="001B3304" w:rsidRDefault="00B1220F" w:rsidP="00B1220F">
      <w:pPr>
        <w:pStyle w:val="NoSpacing"/>
        <w:rPr>
          <w:szCs w:val="24"/>
        </w:rPr>
      </w:pPr>
      <w:r w:rsidRPr="001B3304">
        <w:rPr>
          <w:szCs w:val="24"/>
        </w:rPr>
        <w:t>A modified </w:t>
      </w:r>
      <w:r w:rsidRPr="001B3304">
        <w:rPr>
          <w:i/>
          <w:iCs/>
          <w:szCs w:val="24"/>
        </w:rPr>
        <w:t>W.(D.)</w:t>
      </w:r>
      <w:r w:rsidRPr="001B3304">
        <w:rPr>
          <w:szCs w:val="24"/>
        </w:rPr>
        <w:t xml:space="preserve"> instruction is required due to the fact that, even if the accused’s evidence is believed at the first stage of the analysis, s/he is not necessarily entitled to an acquittal, given the modified objective test involved: </w:t>
      </w:r>
      <w:r w:rsidRPr="001B3304">
        <w:rPr>
          <w:i/>
          <w:iCs/>
          <w:szCs w:val="24"/>
        </w:rPr>
        <w:t xml:space="preserve">R v Ibrahim, </w:t>
      </w:r>
      <w:hyperlink r:id="rId204" w:history="1">
        <w:r w:rsidRPr="001B3304">
          <w:rPr>
            <w:rStyle w:val="Hyperlink"/>
            <w:szCs w:val="24"/>
          </w:rPr>
          <w:t>2019 ONCA 631</w:t>
        </w:r>
      </w:hyperlink>
      <w:r w:rsidRPr="001B3304">
        <w:rPr>
          <w:szCs w:val="24"/>
        </w:rPr>
        <w:t>, at paras 38, 47, 49, 61</w:t>
      </w:r>
    </w:p>
    <w:p w14:paraId="567B15EA" w14:textId="77777777" w:rsidR="00B1220F" w:rsidRPr="001B3304" w:rsidRDefault="00B1220F" w:rsidP="00B1220F">
      <w:pPr>
        <w:spacing w:line="276" w:lineRule="auto"/>
        <w:jc w:val="both"/>
        <w:rPr>
          <w:rFonts w:ascii="Arial" w:hAnsi="Arial" w:cs="Arial"/>
        </w:rPr>
      </w:pPr>
    </w:p>
    <w:p w14:paraId="4B049417" w14:textId="77777777" w:rsidR="00B1220F" w:rsidRPr="001B3304" w:rsidRDefault="00B1220F" w:rsidP="00B1220F">
      <w:pPr>
        <w:pStyle w:val="NoSpacing"/>
        <w:rPr>
          <w:szCs w:val="24"/>
        </w:rPr>
      </w:pPr>
      <w:r w:rsidRPr="001B3304">
        <w:rPr>
          <w:szCs w:val="24"/>
        </w:rPr>
        <w:t xml:space="preserve">An accused’s licensing status may be relevant to indicate that the accused possessed the requisite </w:t>
      </w:r>
      <w:proofErr w:type="spellStart"/>
      <w:r w:rsidRPr="001B3304">
        <w:rPr>
          <w:i/>
          <w:szCs w:val="24"/>
        </w:rPr>
        <w:t>mens</w:t>
      </w:r>
      <w:proofErr w:type="spellEnd"/>
      <w:r w:rsidRPr="001B3304">
        <w:rPr>
          <w:i/>
          <w:szCs w:val="24"/>
        </w:rPr>
        <w:t xml:space="preserve"> rea, </w:t>
      </w:r>
      <w:r w:rsidRPr="001B3304">
        <w:rPr>
          <w:szCs w:val="24"/>
        </w:rPr>
        <w:t xml:space="preserve">if, for example, it is indicative of an incapacity to appreciate or avoid the particular risk. For example, if an accused drives in </w:t>
      </w:r>
      <w:r w:rsidRPr="001B3304">
        <w:rPr>
          <w:szCs w:val="24"/>
        </w:rPr>
        <w:lastRenderedPageBreak/>
        <w:t>violation of a licensing condition imposed because of some physical attribute that makes it unsafe for the accused to drive in some circumstances, driving in violation of that condition would be relevant. The Crown could use the accused’s violation of the licensing condition to prove that the accused was subjectively reckless or willfully blind to the risk his or her actions posed to other users of the road. Such evidence about the accused’s actual state of mind is relevant to a court’s objective assessment of whether the accused’s conduct constituted a marked departure. If, however, an accused’s license suspension: </w:t>
      </w:r>
      <w:r w:rsidRPr="001B3304">
        <w:rPr>
          <w:i/>
          <w:iCs/>
          <w:szCs w:val="24"/>
        </w:rPr>
        <w:t xml:space="preserve">Brown </w:t>
      </w:r>
      <w:r w:rsidRPr="001B3304">
        <w:rPr>
          <w:iCs/>
          <w:szCs w:val="24"/>
        </w:rPr>
        <w:t>at paras 8-9</w:t>
      </w:r>
    </w:p>
    <w:p w14:paraId="09B20748" w14:textId="77777777" w:rsidR="00B1220F" w:rsidRPr="001B3304" w:rsidRDefault="00B1220F" w:rsidP="00B1220F">
      <w:pPr>
        <w:pStyle w:val="NoSpacing"/>
        <w:rPr>
          <w:iCs/>
          <w:szCs w:val="24"/>
        </w:rPr>
      </w:pPr>
    </w:p>
    <w:p w14:paraId="0DCE0F3B" w14:textId="77777777" w:rsidR="00B1220F" w:rsidRPr="001B3304" w:rsidRDefault="00B1220F" w:rsidP="00CA123F">
      <w:pPr>
        <w:pStyle w:val="Heading2"/>
      </w:pPr>
      <w:bookmarkStart w:id="105" w:name="_Toc134294143"/>
      <w:r w:rsidRPr="001B3304">
        <w:t>Street Racing</w:t>
      </w:r>
      <w:bookmarkEnd w:id="105"/>
    </w:p>
    <w:p w14:paraId="50D0DD30" w14:textId="77777777" w:rsidR="00CA123F" w:rsidRPr="001B3304" w:rsidRDefault="00CA123F" w:rsidP="00CA123F">
      <w:pPr>
        <w:pStyle w:val="NoSpacing"/>
        <w:rPr>
          <w:szCs w:val="24"/>
        </w:rPr>
      </w:pPr>
    </w:p>
    <w:p w14:paraId="7355A6D9" w14:textId="1FCEA564" w:rsidR="00CA123F" w:rsidRPr="001B3304" w:rsidRDefault="00CA123F" w:rsidP="00CA123F">
      <w:pPr>
        <w:pStyle w:val="NoSpacing"/>
        <w:rPr>
          <w:szCs w:val="24"/>
        </w:rPr>
      </w:pPr>
      <w:r w:rsidRPr="001B3304">
        <w:rPr>
          <w:szCs w:val="24"/>
        </w:rPr>
        <w:t xml:space="preserve">The mutuality component of street racing requires evidence of a common intention between the two parties to encourage or incite each other to race. </w:t>
      </w:r>
    </w:p>
    <w:p w14:paraId="55AB9FC1" w14:textId="77777777" w:rsidR="00CA123F" w:rsidRPr="001B3304" w:rsidRDefault="00CA123F" w:rsidP="00CA123F">
      <w:pPr>
        <w:pStyle w:val="NoSpacing"/>
        <w:rPr>
          <w:szCs w:val="24"/>
        </w:rPr>
      </w:pPr>
    </w:p>
    <w:p w14:paraId="37EEB690" w14:textId="341C9252" w:rsidR="00CA123F" w:rsidRPr="001B3304" w:rsidRDefault="00CA123F" w:rsidP="00CA123F">
      <w:pPr>
        <w:pStyle w:val="NoSpacing"/>
        <w:rPr>
          <w:szCs w:val="24"/>
        </w:rPr>
      </w:pPr>
      <w:r w:rsidRPr="001B3304">
        <w:rPr>
          <w:szCs w:val="24"/>
        </w:rPr>
        <w:t xml:space="preserve">Evidence of a race is often drawn from circumstantial evidence such as synchronized or in-tandem aggressive movements of two vehicles, marked by high speed and close proximity over a material distance, often accompanied by abrupt lane changes, blocking, or bold </w:t>
      </w:r>
      <w:proofErr w:type="spellStart"/>
      <w:r w:rsidRPr="001B3304">
        <w:rPr>
          <w:szCs w:val="24"/>
        </w:rPr>
        <w:t>manoeuvres</w:t>
      </w:r>
      <w:proofErr w:type="spellEnd"/>
      <w:r w:rsidRPr="001B3304">
        <w:rPr>
          <w:szCs w:val="24"/>
        </w:rPr>
        <w:t xml:space="preserve"> in and out of traffic to name a few indicia.</w:t>
      </w:r>
    </w:p>
    <w:p w14:paraId="47261A26" w14:textId="77777777" w:rsidR="00CA123F" w:rsidRPr="001B3304" w:rsidRDefault="00CA123F" w:rsidP="00CA123F">
      <w:pPr>
        <w:pStyle w:val="NoSpacing"/>
        <w:rPr>
          <w:szCs w:val="24"/>
        </w:rPr>
      </w:pPr>
    </w:p>
    <w:p w14:paraId="5BDE8329" w14:textId="1BC5ECCA" w:rsidR="00CA123F" w:rsidRPr="001B3304" w:rsidRDefault="00CA123F" w:rsidP="00CA123F">
      <w:pPr>
        <w:pStyle w:val="NoSpacing"/>
        <w:rPr>
          <w:szCs w:val="24"/>
        </w:rPr>
      </w:pPr>
      <w:r w:rsidRPr="001B3304">
        <w:rPr>
          <w:szCs w:val="24"/>
        </w:rPr>
        <w:t>The actus reus and </w:t>
      </w:r>
      <w:proofErr w:type="spellStart"/>
      <w:r w:rsidRPr="001B3304">
        <w:rPr>
          <w:szCs w:val="24"/>
        </w:rPr>
        <w:t>mens</w:t>
      </w:r>
      <w:proofErr w:type="spellEnd"/>
      <w:r w:rsidRPr="001B3304">
        <w:rPr>
          <w:szCs w:val="24"/>
        </w:rPr>
        <w:t xml:space="preserve"> rea components of the offence require the trier of fact to consider each party’s overall driving conduct. For example, one party accused of street racing may raise an intervening event, such as evidence that he or she has withdrawn from the race, to avoid culpability. However, absent an intervening event, when two drivers engage in street racing, both are considered in law to have caused injury to those harmed by their racing.</w:t>
      </w:r>
    </w:p>
    <w:p w14:paraId="1319B1B7" w14:textId="77777777" w:rsidR="00CA123F" w:rsidRPr="001B3304" w:rsidRDefault="00CA123F" w:rsidP="00CA123F">
      <w:pPr>
        <w:pStyle w:val="NoSpacing"/>
        <w:rPr>
          <w:szCs w:val="24"/>
        </w:rPr>
      </w:pPr>
    </w:p>
    <w:p w14:paraId="6820BF9D" w14:textId="7A445BEF" w:rsidR="00CA123F" w:rsidRPr="001B3304" w:rsidRDefault="00CA123F" w:rsidP="00CA123F">
      <w:pPr>
        <w:pStyle w:val="NoSpacing"/>
        <w:rPr>
          <w:szCs w:val="24"/>
        </w:rPr>
      </w:pPr>
      <w:r w:rsidRPr="001B3304">
        <w:rPr>
          <w:szCs w:val="24"/>
        </w:rPr>
        <w:t>Given the possibility of an intervening event, therefore, it is not true that the finding of guilt of one co-accused to an offence containing a mutuality requirement must result in a finding of guilt of another co-accused: </w:t>
      </w:r>
      <w:r w:rsidRPr="001B3304">
        <w:rPr>
          <w:i/>
          <w:iCs/>
          <w:szCs w:val="24"/>
        </w:rPr>
        <w:t xml:space="preserve">R v </w:t>
      </w:r>
      <w:proofErr w:type="spellStart"/>
      <w:r w:rsidRPr="001B3304">
        <w:rPr>
          <w:i/>
          <w:iCs/>
          <w:szCs w:val="24"/>
        </w:rPr>
        <w:t>Akthar</w:t>
      </w:r>
      <w:proofErr w:type="spellEnd"/>
      <w:r w:rsidRPr="001B3304">
        <w:rPr>
          <w:i/>
          <w:iCs/>
          <w:szCs w:val="24"/>
        </w:rPr>
        <w:t xml:space="preserve">, </w:t>
      </w:r>
      <w:hyperlink r:id="rId205" w:history="1">
        <w:r w:rsidRPr="001B3304">
          <w:rPr>
            <w:rStyle w:val="Hyperlink"/>
            <w:szCs w:val="24"/>
          </w:rPr>
          <w:t>2022 ONCA 279</w:t>
        </w:r>
      </w:hyperlink>
      <w:r w:rsidRPr="001B3304">
        <w:rPr>
          <w:szCs w:val="24"/>
        </w:rPr>
        <w:t>, at paras 59-62</w:t>
      </w:r>
    </w:p>
    <w:p w14:paraId="75A673C6" w14:textId="77777777" w:rsidR="00CA123F" w:rsidRPr="001B3304" w:rsidRDefault="00CA123F" w:rsidP="00B1220F">
      <w:pPr>
        <w:pStyle w:val="NoSpacing"/>
        <w:rPr>
          <w:szCs w:val="24"/>
        </w:rPr>
      </w:pPr>
    </w:p>
    <w:p w14:paraId="0BA30A4C" w14:textId="77C25792" w:rsidR="00CA123F" w:rsidRPr="001B3304" w:rsidRDefault="00B1220F" w:rsidP="00B1220F">
      <w:pPr>
        <w:pStyle w:val="NoSpacing"/>
        <w:rPr>
          <w:szCs w:val="24"/>
        </w:rPr>
      </w:pPr>
      <w:r w:rsidRPr="001B3304">
        <w:rPr>
          <w:szCs w:val="24"/>
        </w:rPr>
        <w:t xml:space="preserve">Absent an intervening event, when two motorists engage in street racing, both are considered in law to have caused injury to an innocent third party who is harmed because of their racing: </w:t>
      </w:r>
      <w:r w:rsidRPr="001B3304">
        <w:rPr>
          <w:i/>
          <w:iCs/>
          <w:szCs w:val="24"/>
        </w:rPr>
        <w:t xml:space="preserve">R v Williams, </w:t>
      </w:r>
      <w:hyperlink r:id="rId206" w:history="1">
        <w:r w:rsidRPr="001B3304">
          <w:rPr>
            <w:rStyle w:val="Hyperlink"/>
            <w:szCs w:val="24"/>
          </w:rPr>
          <w:t>2020 ONCA 30</w:t>
        </w:r>
      </w:hyperlink>
      <w:r w:rsidRPr="001B3304">
        <w:rPr>
          <w:szCs w:val="24"/>
        </w:rPr>
        <w:t>, at para 15</w:t>
      </w:r>
    </w:p>
    <w:p w14:paraId="51423A67" w14:textId="77777777" w:rsidR="00B1220F" w:rsidRPr="001B3304" w:rsidRDefault="00B1220F" w:rsidP="00B1220F">
      <w:pPr>
        <w:rPr>
          <w:rFonts w:ascii="Arial" w:hAnsi="Arial" w:cs="Arial"/>
          <w:lang w:val="en-US"/>
        </w:rPr>
      </w:pPr>
    </w:p>
    <w:p w14:paraId="02E5B45B" w14:textId="67C527CA" w:rsidR="00B1220F" w:rsidRPr="001B3304" w:rsidRDefault="00B1220F" w:rsidP="00B1220F">
      <w:pPr>
        <w:pStyle w:val="Heading2"/>
        <w:numPr>
          <w:ilvl w:val="0"/>
          <w:numId w:val="46"/>
        </w:numPr>
      </w:pPr>
      <w:bookmarkStart w:id="106" w:name="_Toc134294144"/>
      <w:r w:rsidRPr="001B3304">
        <w:lastRenderedPageBreak/>
        <w:t>Impaired Driving: s.320.14</w:t>
      </w:r>
      <w:bookmarkEnd w:id="106"/>
    </w:p>
    <w:p w14:paraId="65DF32F1" w14:textId="609DA5D8" w:rsidR="00B1220F" w:rsidRPr="001B3304" w:rsidRDefault="00B1220F" w:rsidP="00B1220F">
      <w:pPr>
        <w:pStyle w:val="NoSpacing"/>
        <w:rPr>
          <w:szCs w:val="24"/>
        </w:rPr>
      </w:pPr>
      <w:r w:rsidRPr="001B3304">
        <w:rPr>
          <w:szCs w:val="24"/>
        </w:rPr>
        <w:t>In prosecutions for impaired operation of a motor vehicle, the essential element of impairment is proven if the evidence establishes any degree of impairment ranging from slight to great: </w:t>
      </w:r>
      <w:r w:rsidRPr="001B3304">
        <w:rPr>
          <w:i/>
          <w:iCs/>
          <w:szCs w:val="24"/>
        </w:rPr>
        <w:t xml:space="preserve">R v </w:t>
      </w:r>
      <w:proofErr w:type="spellStart"/>
      <w:r w:rsidRPr="001B3304">
        <w:rPr>
          <w:i/>
          <w:iCs/>
          <w:szCs w:val="24"/>
        </w:rPr>
        <w:t>Stennett</w:t>
      </w:r>
      <w:proofErr w:type="spellEnd"/>
      <w:r w:rsidRPr="001B3304">
        <w:rPr>
          <w:i/>
          <w:iCs/>
          <w:szCs w:val="24"/>
        </w:rPr>
        <w:t xml:space="preserve">, </w:t>
      </w:r>
      <w:hyperlink r:id="rId207" w:history="1">
        <w:r w:rsidRPr="001B3304">
          <w:rPr>
            <w:rStyle w:val="Hyperlink"/>
            <w:szCs w:val="24"/>
          </w:rPr>
          <w:t>2021 ONCA 258</w:t>
        </w:r>
      </w:hyperlink>
      <w:r w:rsidRPr="001B3304">
        <w:rPr>
          <w:szCs w:val="24"/>
        </w:rPr>
        <w:t>, at para 111</w:t>
      </w:r>
    </w:p>
    <w:p w14:paraId="1AF0287C" w14:textId="0A4DEECC" w:rsidR="00570C4F" w:rsidRPr="001B3304" w:rsidRDefault="00570C4F" w:rsidP="00B1220F">
      <w:pPr>
        <w:pStyle w:val="NoSpacing"/>
        <w:rPr>
          <w:szCs w:val="24"/>
        </w:rPr>
      </w:pPr>
    </w:p>
    <w:p w14:paraId="0488A1AC" w14:textId="46C9609C" w:rsidR="00570C4F" w:rsidRPr="001B3304" w:rsidRDefault="00570C4F" w:rsidP="00570C4F">
      <w:pPr>
        <w:pStyle w:val="NoSpacing"/>
        <w:rPr>
          <w:szCs w:val="24"/>
        </w:rPr>
      </w:pPr>
      <w:r w:rsidRPr="001B3304">
        <w:rPr>
          <w:szCs w:val="24"/>
        </w:rPr>
        <w:t xml:space="preserve">There is no special test for determining impairment. The offence of impaired driving is established by evidence of any degree of impairment ranging from slight to great: </w:t>
      </w:r>
      <w:r w:rsidRPr="001B3304">
        <w:rPr>
          <w:i/>
          <w:iCs/>
          <w:szCs w:val="24"/>
        </w:rPr>
        <w:t xml:space="preserve">R v </w:t>
      </w:r>
      <w:proofErr w:type="spellStart"/>
      <w:r w:rsidRPr="001B3304">
        <w:rPr>
          <w:i/>
          <w:iCs/>
          <w:szCs w:val="24"/>
        </w:rPr>
        <w:t>Ramroop</w:t>
      </w:r>
      <w:proofErr w:type="spellEnd"/>
      <w:r w:rsidRPr="001B3304">
        <w:rPr>
          <w:i/>
          <w:iCs/>
          <w:szCs w:val="24"/>
        </w:rPr>
        <w:t xml:space="preserve">, </w:t>
      </w:r>
      <w:hyperlink r:id="rId208" w:history="1">
        <w:r w:rsidRPr="001B3304">
          <w:rPr>
            <w:rStyle w:val="Hyperlink"/>
            <w:szCs w:val="24"/>
          </w:rPr>
          <w:t>2021 ONCA 642</w:t>
        </w:r>
      </w:hyperlink>
      <w:r w:rsidRPr="001B3304">
        <w:rPr>
          <w:szCs w:val="24"/>
        </w:rPr>
        <w:t>, at para 11</w:t>
      </w:r>
    </w:p>
    <w:p w14:paraId="13FC7D8B" w14:textId="77777777" w:rsidR="00B1220F" w:rsidRPr="001B3304" w:rsidRDefault="00B1220F" w:rsidP="00B1220F">
      <w:pPr>
        <w:rPr>
          <w:rFonts w:ascii="Arial" w:hAnsi="Arial" w:cs="Arial"/>
        </w:rPr>
      </w:pPr>
    </w:p>
    <w:p w14:paraId="6AFB5F43" w14:textId="2631DB3D" w:rsidR="0065580C" w:rsidRPr="001B3304" w:rsidRDefault="006B09AF" w:rsidP="00777315">
      <w:pPr>
        <w:pStyle w:val="Heading1"/>
        <w:spacing w:line="276" w:lineRule="auto"/>
        <w:rPr>
          <w:rFonts w:ascii="Arial" w:hAnsi="Arial" w:cs="Arial"/>
          <w:sz w:val="24"/>
          <w:szCs w:val="24"/>
        </w:rPr>
      </w:pPr>
      <w:bookmarkStart w:id="107" w:name="_Toc134294145"/>
      <w:r w:rsidRPr="001B3304">
        <w:rPr>
          <w:rFonts w:ascii="Arial" w:hAnsi="Arial" w:cs="Arial"/>
          <w:sz w:val="24"/>
          <w:szCs w:val="24"/>
        </w:rPr>
        <w:t>PART IX: OFFENCES AGAINST RIGHTS OF PROPERTY</w:t>
      </w:r>
      <w:bookmarkEnd w:id="107"/>
    </w:p>
    <w:p w14:paraId="48827CFC" w14:textId="77777777" w:rsidR="0065580C" w:rsidRPr="001B3304" w:rsidRDefault="0065580C" w:rsidP="003E1822">
      <w:pPr>
        <w:pStyle w:val="Heading2"/>
        <w:numPr>
          <w:ilvl w:val="0"/>
          <w:numId w:val="19"/>
        </w:numPr>
        <w:spacing w:line="276" w:lineRule="auto"/>
      </w:pPr>
      <w:bookmarkStart w:id="108" w:name="_Toc134294146"/>
      <w:r w:rsidRPr="001B3304">
        <w:t>Robbery: S.343</w:t>
      </w:r>
      <w:bookmarkEnd w:id="108"/>
    </w:p>
    <w:p w14:paraId="51019BE6" w14:textId="77777777" w:rsidR="0065580C" w:rsidRPr="001B3304" w:rsidRDefault="0065580C" w:rsidP="003E1822">
      <w:pPr>
        <w:pStyle w:val="NoSpacing"/>
        <w:rPr>
          <w:szCs w:val="24"/>
        </w:rPr>
      </w:pPr>
      <w:r w:rsidRPr="001B3304">
        <w:rPr>
          <w:szCs w:val="24"/>
        </w:rPr>
        <w:t xml:space="preserve">One mode of robbery cannot be an included offence in a charge specifying another mode of robbery because s. 343 creates only one offence of robbery, with different ways of committing it: </w:t>
      </w:r>
      <w:r w:rsidRPr="001B3304">
        <w:rPr>
          <w:i/>
          <w:szCs w:val="24"/>
        </w:rPr>
        <w:t xml:space="preserve">R v Robinson, </w:t>
      </w:r>
      <w:hyperlink r:id="rId209" w:history="1">
        <w:r w:rsidRPr="001B3304">
          <w:rPr>
            <w:rStyle w:val="Hyperlink"/>
            <w:szCs w:val="24"/>
          </w:rPr>
          <w:t>2018 ONCA 741</w:t>
        </w:r>
      </w:hyperlink>
      <w:r w:rsidRPr="001B3304">
        <w:rPr>
          <w:szCs w:val="24"/>
        </w:rPr>
        <w:t xml:space="preserve"> at para 12</w:t>
      </w:r>
    </w:p>
    <w:p w14:paraId="45C6A3EA" w14:textId="0D431437" w:rsidR="0065580C" w:rsidRPr="001B3304" w:rsidRDefault="0065580C" w:rsidP="003E1822">
      <w:pPr>
        <w:spacing w:line="276" w:lineRule="auto"/>
        <w:rPr>
          <w:rFonts w:ascii="Arial" w:hAnsi="Arial" w:cs="Arial"/>
        </w:rPr>
      </w:pPr>
    </w:p>
    <w:p w14:paraId="616B2CB0" w14:textId="4C266A41" w:rsidR="00DD52FC" w:rsidRPr="001B3304" w:rsidRDefault="00DD52FC" w:rsidP="00C9185E">
      <w:pPr>
        <w:pStyle w:val="NoSpacing"/>
        <w:rPr>
          <w:szCs w:val="24"/>
          <w:lang w:val="en-CA"/>
        </w:rPr>
      </w:pPr>
      <w:r w:rsidRPr="001B3304">
        <w:rPr>
          <w:szCs w:val="24"/>
          <w:shd w:val="clear" w:color="auto" w:fill="FFFFFF"/>
          <w:lang w:val="en-CA"/>
        </w:rPr>
        <w:t xml:space="preserve">The Crown is not required to particularize a mode of robbery; however, having done so by particularizing the charge as one mode of robbery, the Crown cannot then obtain a conviction for a different mode of robbery where to do so would prejudice the accused: </w:t>
      </w:r>
      <w:r w:rsidRPr="001B3304">
        <w:rPr>
          <w:i/>
          <w:szCs w:val="24"/>
          <w:shd w:val="clear" w:color="auto" w:fill="FFFFFF"/>
          <w:lang w:val="en-CA"/>
        </w:rPr>
        <w:t>Robinson</w:t>
      </w:r>
      <w:r w:rsidRPr="001B3304">
        <w:rPr>
          <w:szCs w:val="24"/>
          <w:shd w:val="clear" w:color="auto" w:fill="FFFFFF"/>
          <w:lang w:val="en-CA"/>
        </w:rPr>
        <w:t>.</w:t>
      </w:r>
    </w:p>
    <w:p w14:paraId="5805F1F7" w14:textId="77777777" w:rsidR="00D23B96" w:rsidRPr="001B3304" w:rsidRDefault="00D23B96" w:rsidP="003E1822">
      <w:pPr>
        <w:spacing w:line="276" w:lineRule="auto"/>
        <w:rPr>
          <w:rFonts w:ascii="Arial" w:hAnsi="Arial" w:cs="Arial"/>
        </w:rPr>
      </w:pPr>
    </w:p>
    <w:p w14:paraId="09C6910A" w14:textId="26B27789" w:rsidR="00A54F5C" w:rsidRPr="001B3304" w:rsidRDefault="00A54F5C" w:rsidP="00A54F5C">
      <w:pPr>
        <w:pStyle w:val="Heading2"/>
        <w:spacing w:line="276" w:lineRule="auto"/>
      </w:pPr>
      <w:bookmarkStart w:id="109" w:name="_Toc134294147"/>
      <w:r w:rsidRPr="001B3304">
        <w:t>False Information / Harrasing communications: s</w:t>
      </w:r>
      <w:hyperlink r:id="rId210" w:anchor="docCont" w:history="1">
        <w:r w:rsidRPr="001B3304">
          <w:rPr>
            <w:rStyle w:val="Hyperlink"/>
          </w:rPr>
          <w:t>.372</w:t>
        </w:r>
        <w:bookmarkEnd w:id="109"/>
      </w:hyperlink>
    </w:p>
    <w:p w14:paraId="423FAB46" w14:textId="1F9A6C15" w:rsidR="00A54F5C" w:rsidRPr="001B3304" w:rsidRDefault="00A54F5C" w:rsidP="00A54F5C">
      <w:pPr>
        <w:rPr>
          <w:rFonts w:ascii="Arial" w:hAnsi="Arial" w:cs="Arial"/>
          <w:lang w:val="en-US"/>
        </w:rPr>
      </w:pPr>
    </w:p>
    <w:p w14:paraId="02311855" w14:textId="12278CA0" w:rsidR="00A54F5C" w:rsidRPr="001B3304" w:rsidRDefault="00A54F5C" w:rsidP="00A54F5C">
      <w:pPr>
        <w:pStyle w:val="NoSpacing"/>
        <w:rPr>
          <w:szCs w:val="24"/>
        </w:rPr>
      </w:pPr>
      <w:r w:rsidRPr="001B3304">
        <w:rPr>
          <w:szCs w:val="24"/>
        </w:rPr>
        <w:t xml:space="preserve">Under s.372(2), a person may include an organization: </w:t>
      </w:r>
      <w:r w:rsidRPr="001B3304">
        <w:rPr>
          <w:i/>
          <w:iCs/>
          <w:szCs w:val="24"/>
        </w:rPr>
        <w:t xml:space="preserve">R v </w:t>
      </w:r>
      <w:proofErr w:type="spellStart"/>
      <w:r w:rsidRPr="001B3304">
        <w:rPr>
          <w:i/>
          <w:iCs/>
          <w:szCs w:val="24"/>
        </w:rPr>
        <w:t>Berhe</w:t>
      </w:r>
      <w:proofErr w:type="spellEnd"/>
      <w:r w:rsidRPr="001B3304">
        <w:rPr>
          <w:i/>
          <w:iCs/>
          <w:szCs w:val="24"/>
        </w:rPr>
        <w:t xml:space="preserve">, </w:t>
      </w:r>
      <w:hyperlink r:id="rId211" w:history="1">
        <w:r w:rsidRPr="001B3304">
          <w:rPr>
            <w:rStyle w:val="Hyperlink"/>
            <w:szCs w:val="24"/>
          </w:rPr>
          <w:t>2022 ONCA 853,</w:t>
        </w:r>
      </w:hyperlink>
      <w:r w:rsidRPr="001B3304">
        <w:rPr>
          <w:szCs w:val="24"/>
        </w:rPr>
        <w:t xml:space="preserve"> at para 22</w:t>
      </w:r>
    </w:p>
    <w:p w14:paraId="567A1C46" w14:textId="45E8A9CA" w:rsidR="0001390B" w:rsidRPr="001B3304" w:rsidRDefault="0001390B" w:rsidP="0001390B">
      <w:pPr>
        <w:pStyle w:val="Heading2"/>
        <w:spacing w:line="276" w:lineRule="auto"/>
      </w:pPr>
      <w:bookmarkStart w:id="110" w:name="_Toc134294148"/>
      <w:r w:rsidRPr="001B3304">
        <w:t>Selling/possessing Counterfeit Mark: s.376(2)(b)</w:t>
      </w:r>
      <w:bookmarkEnd w:id="110"/>
    </w:p>
    <w:p w14:paraId="00FF74A5" w14:textId="008155E8" w:rsidR="0001390B" w:rsidRPr="001B3304" w:rsidRDefault="0001390B" w:rsidP="0001390B">
      <w:pPr>
        <w:pStyle w:val="NoSpacing"/>
        <w:rPr>
          <w:szCs w:val="24"/>
        </w:rPr>
      </w:pPr>
      <w:r w:rsidRPr="001B3304">
        <w:rPr>
          <w:szCs w:val="24"/>
        </w:rPr>
        <w:t xml:space="preserve">Counterfeit marks are those that falsely purported to be genuine official marks. In the case of government cards with incorrect information, there must be evidence that they were not issued by the government in that form. In other words, for a mark on a government issued document to be counterfeit, the document on which it appears must at least have been altered in some way after the government </w:t>
      </w:r>
      <w:r w:rsidRPr="001B3304">
        <w:rPr>
          <w:szCs w:val="24"/>
        </w:rPr>
        <w:lastRenderedPageBreak/>
        <w:t xml:space="preserve">issued the document and applied the mark: </w:t>
      </w:r>
      <w:r w:rsidRPr="001B3304">
        <w:rPr>
          <w:i/>
          <w:iCs/>
          <w:szCs w:val="24"/>
        </w:rPr>
        <w:t xml:space="preserve">R v Smith, </w:t>
      </w:r>
      <w:hyperlink r:id="rId212" w:history="1">
        <w:r w:rsidRPr="001B3304">
          <w:rPr>
            <w:rStyle w:val="Hyperlink"/>
            <w:szCs w:val="24"/>
          </w:rPr>
          <w:t>2021 ONCA 310</w:t>
        </w:r>
      </w:hyperlink>
      <w:r w:rsidRPr="001B3304">
        <w:rPr>
          <w:szCs w:val="24"/>
        </w:rPr>
        <w:t>, at paras 21-28</w:t>
      </w:r>
    </w:p>
    <w:p w14:paraId="4753614D" w14:textId="77777777" w:rsidR="0001390B" w:rsidRPr="001B3304" w:rsidRDefault="0001390B" w:rsidP="0001390B">
      <w:pPr>
        <w:rPr>
          <w:rFonts w:ascii="Arial" w:hAnsi="Arial" w:cs="Arial"/>
          <w:lang w:val="en-US"/>
        </w:rPr>
      </w:pPr>
    </w:p>
    <w:p w14:paraId="708B2E48" w14:textId="1911AF2D" w:rsidR="0065580C" w:rsidRPr="001B3304" w:rsidRDefault="0065580C" w:rsidP="003E1822">
      <w:pPr>
        <w:pStyle w:val="Heading2"/>
        <w:spacing w:line="276" w:lineRule="auto"/>
      </w:pPr>
      <w:bookmarkStart w:id="111" w:name="_Toc134294149"/>
      <w:r w:rsidRPr="001B3304">
        <w:t xml:space="preserve">Criminal </w:t>
      </w:r>
      <w:r w:rsidR="00457CBD" w:rsidRPr="001B3304">
        <w:t>Interest</w:t>
      </w:r>
      <w:r w:rsidRPr="001B3304">
        <w:t xml:space="preserve"> </w:t>
      </w:r>
      <w:r w:rsidR="00457CBD" w:rsidRPr="001B3304">
        <w:t>Rates</w:t>
      </w:r>
      <w:r w:rsidRPr="001B3304">
        <w:t>: s.347</w:t>
      </w:r>
      <w:bookmarkEnd w:id="111"/>
    </w:p>
    <w:p w14:paraId="267B7E0A" w14:textId="77777777" w:rsidR="0065580C" w:rsidRPr="001B3304" w:rsidRDefault="0065580C" w:rsidP="003E1822">
      <w:pPr>
        <w:spacing w:line="276" w:lineRule="auto"/>
        <w:rPr>
          <w:rFonts w:ascii="Arial" w:hAnsi="Arial" w:cs="Arial"/>
        </w:rPr>
      </w:pPr>
    </w:p>
    <w:p w14:paraId="6A9EFF1A" w14:textId="77777777" w:rsidR="0065580C" w:rsidRPr="001B3304" w:rsidRDefault="0065580C" w:rsidP="003E1822">
      <w:pPr>
        <w:pStyle w:val="NoSpacing"/>
        <w:rPr>
          <w:szCs w:val="24"/>
        </w:rPr>
      </w:pPr>
      <w:r w:rsidRPr="001B3304">
        <w:rPr>
          <w:szCs w:val="24"/>
        </w:rPr>
        <w:t>Subsections 347 (1) and (3) read as follows:</w:t>
      </w:r>
    </w:p>
    <w:p w14:paraId="70AD6E7F" w14:textId="77777777" w:rsidR="0065580C" w:rsidRPr="001B3304" w:rsidRDefault="0065580C" w:rsidP="003E1822">
      <w:pPr>
        <w:pStyle w:val="NoSpacing"/>
        <w:rPr>
          <w:szCs w:val="24"/>
        </w:rPr>
      </w:pPr>
      <w:r w:rsidRPr="001B3304">
        <w:rPr>
          <w:szCs w:val="24"/>
        </w:rPr>
        <w:t>​</w:t>
      </w:r>
    </w:p>
    <w:p w14:paraId="4874E71C" w14:textId="77777777" w:rsidR="0065580C" w:rsidRPr="001B3304" w:rsidRDefault="0065580C" w:rsidP="003E1822">
      <w:pPr>
        <w:pStyle w:val="NoSpacing"/>
        <w:ind w:left="720"/>
        <w:rPr>
          <w:szCs w:val="24"/>
        </w:rPr>
      </w:pPr>
      <w:r w:rsidRPr="001B3304">
        <w:rPr>
          <w:szCs w:val="24"/>
        </w:rPr>
        <w:t xml:space="preserve">(1)  Despite any other Act of Parliament, </w:t>
      </w:r>
      <w:proofErr w:type="spellStart"/>
      <w:r w:rsidRPr="001B3304">
        <w:rPr>
          <w:szCs w:val="24"/>
        </w:rPr>
        <w:t>every one</w:t>
      </w:r>
      <w:proofErr w:type="spellEnd"/>
      <w:r w:rsidRPr="001B3304">
        <w:rPr>
          <w:szCs w:val="24"/>
        </w:rPr>
        <w:t xml:space="preserve"> who enters into an agreement or arrangement to receive interest at a criminal rate, or receives a payment or partial payment of interest at a criminal rate, is</w:t>
      </w:r>
    </w:p>
    <w:p w14:paraId="47D30971" w14:textId="77777777" w:rsidR="0065580C" w:rsidRPr="001B3304" w:rsidRDefault="0065580C" w:rsidP="003E1822">
      <w:pPr>
        <w:pStyle w:val="NoSpacing"/>
        <w:ind w:left="1440"/>
        <w:rPr>
          <w:szCs w:val="24"/>
        </w:rPr>
      </w:pPr>
      <w:r w:rsidRPr="001B3304">
        <w:rPr>
          <w:szCs w:val="24"/>
        </w:rPr>
        <w:t>(a)  guilty of an indictable offence and liable to imprisonment for a term not exceeding five years; …</w:t>
      </w:r>
    </w:p>
    <w:p w14:paraId="061E1FF4" w14:textId="77777777" w:rsidR="0065580C" w:rsidRPr="001B3304" w:rsidRDefault="0065580C" w:rsidP="003E1822">
      <w:pPr>
        <w:pStyle w:val="NoSpacing"/>
        <w:ind w:left="720"/>
        <w:rPr>
          <w:szCs w:val="24"/>
        </w:rPr>
      </w:pPr>
    </w:p>
    <w:p w14:paraId="4CBC7655" w14:textId="77777777" w:rsidR="0065580C" w:rsidRPr="001B3304" w:rsidRDefault="0065580C" w:rsidP="003E1822">
      <w:pPr>
        <w:pStyle w:val="NoSpacing"/>
        <w:ind w:left="720"/>
        <w:rPr>
          <w:szCs w:val="24"/>
        </w:rPr>
      </w:pPr>
      <w:r w:rsidRPr="001B3304">
        <w:rPr>
          <w:szCs w:val="24"/>
        </w:rPr>
        <w:t>(3)  Where a person receives a payment or partial payment of interest at a criminal rate, he shall, in the absence of evidence to the contrary, be deemed to have knowledge of the nature of the payment and that it was received at a criminal rate.</w:t>
      </w:r>
    </w:p>
    <w:p w14:paraId="75147889" w14:textId="77777777" w:rsidR="0065580C" w:rsidRPr="001B3304" w:rsidRDefault="0065580C" w:rsidP="003E1822">
      <w:pPr>
        <w:pStyle w:val="NoSpacing"/>
        <w:rPr>
          <w:szCs w:val="24"/>
        </w:rPr>
      </w:pPr>
      <w:r w:rsidRPr="001B3304">
        <w:rPr>
          <w:szCs w:val="24"/>
        </w:rPr>
        <w:t>​</w:t>
      </w:r>
    </w:p>
    <w:p w14:paraId="2D6121EC" w14:textId="77777777" w:rsidR="0065580C" w:rsidRPr="001B3304" w:rsidRDefault="0065580C" w:rsidP="003E1822">
      <w:pPr>
        <w:pStyle w:val="NoSpacing"/>
        <w:rPr>
          <w:szCs w:val="24"/>
        </w:rPr>
      </w:pPr>
      <w:r w:rsidRPr="001B3304">
        <w:rPr>
          <w:szCs w:val="24"/>
        </w:rPr>
        <w:t>Section 347(1) of the Criminal Code creates two offences: (</w:t>
      </w:r>
      <w:proofErr w:type="spellStart"/>
      <w:r w:rsidRPr="001B3304">
        <w:rPr>
          <w:szCs w:val="24"/>
        </w:rPr>
        <w:t>i</w:t>
      </w:r>
      <w:proofErr w:type="spellEnd"/>
      <w:r w:rsidRPr="001B3304">
        <w:rPr>
          <w:szCs w:val="24"/>
        </w:rPr>
        <w:t>) entering into an agreement or arrangement to receive interest at a criminal rate (the “agreeing offence”); and (ii) receiving a payment or partial payment of interest at a criminal rate (the “receiving offence”). </w:t>
      </w:r>
    </w:p>
    <w:p w14:paraId="025F21D8" w14:textId="77777777" w:rsidR="0065580C" w:rsidRPr="001B3304" w:rsidRDefault="0065580C" w:rsidP="003E1822">
      <w:pPr>
        <w:pStyle w:val="NoSpacing"/>
        <w:rPr>
          <w:szCs w:val="24"/>
        </w:rPr>
      </w:pPr>
      <w:r w:rsidRPr="001B3304">
        <w:rPr>
          <w:szCs w:val="24"/>
        </w:rPr>
        <w:t>​</w:t>
      </w:r>
    </w:p>
    <w:p w14:paraId="16A21D69" w14:textId="77777777" w:rsidR="0065580C" w:rsidRPr="001B3304" w:rsidRDefault="0065580C" w:rsidP="003E1822">
      <w:pPr>
        <w:pStyle w:val="NoSpacing"/>
        <w:rPr>
          <w:szCs w:val="24"/>
        </w:rPr>
      </w:pPr>
      <w:r w:rsidRPr="001B3304">
        <w:rPr>
          <w:szCs w:val="24"/>
        </w:rPr>
        <w:t xml:space="preserve">The </w:t>
      </w:r>
      <w:proofErr w:type="spellStart"/>
      <w:r w:rsidRPr="001B3304">
        <w:rPr>
          <w:szCs w:val="24"/>
        </w:rPr>
        <w:t>mens</w:t>
      </w:r>
      <w:proofErr w:type="spellEnd"/>
      <w:r w:rsidRPr="001B3304">
        <w:rPr>
          <w:szCs w:val="24"/>
        </w:rPr>
        <w:t xml:space="preserve"> rea is knowledge, or its legal equivalent, </w:t>
      </w:r>
      <w:proofErr w:type="spellStart"/>
      <w:r w:rsidRPr="001B3304">
        <w:rPr>
          <w:szCs w:val="24"/>
        </w:rPr>
        <w:t>wilful</w:t>
      </w:r>
      <w:proofErr w:type="spellEnd"/>
      <w:r w:rsidRPr="001B3304">
        <w:rPr>
          <w:szCs w:val="24"/>
        </w:rPr>
        <w:t xml:space="preserve"> blindness, that the terms of the agreement call for an effective annual interest rate of over 60 percent. </w:t>
      </w:r>
    </w:p>
    <w:p w14:paraId="644EF2A0" w14:textId="77777777" w:rsidR="0065580C" w:rsidRPr="001B3304" w:rsidRDefault="0065580C" w:rsidP="003E1822">
      <w:pPr>
        <w:pStyle w:val="NoSpacing"/>
        <w:rPr>
          <w:szCs w:val="24"/>
        </w:rPr>
      </w:pPr>
      <w:r w:rsidRPr="001B3304">
        <w:rPr>
          <w:szCs w:val="24"/>
        </w:rPr>
        <w:t>​</w:t>
      </w:r>
    </w:p>
    <w:p w14:paraId="43BEDEC8" w14:textId="77777777" w:rsidR="0065580C" w:rsidRPr="001B3304" w:rsidRDefault="0065580C" w:rsidP="003E1822">
      <w:pPr>
        <w:pStyle w:val="NoSpacing"/>
        <w:rPr>
          <w:szCs w:val="24"/>
        </w:rPr>
      </w:pPr>
      <w:r w:rsidRPr="001B3304">
        <w:rPr>
          <w:szCs w:val="24"/>
        </w:rPr>
        <w:t>Under s. 347(2), “criminal rate” is defined as an effective annual rate of interest calculated in accordance with generally accepted actuarial practices and principles that exceeds 60 percent on the credit advanced under an agreement or arrangement.  As a result, effective annual rates of interest that are 60 percent or less when calculated in accordance with actuarial principles are not criminal rates of interest.</w:t>
      </w:r>
    </w:p>
    <w:p w14:paraId="0C7585C3" w14:textId="77777777" w:rsidR="0065580C" w:rsidRPr="001B3304" w:rsidRDefault="0065580C" w:rsidP="003E1822">
      <w:pPr>
        <w:pStyle w:val="NoSpacing"/>
        <w:rPr>
          <w:szCs w:val="24"/>
        </w:rPr>
      </w:pPr>
      <w:r w:rsidRPr="001B3304">
        <w:rPr>
          <w:szCs w:val="24"/>
        </w:rPr>
        <w:t>​</w:t>
      </w:r>
    </w:p>
    <w:p w14:paraId="13993AEC" w14:textId="77777777" w:rsidR="0065580C" w:rsidRPr="001B3304" w:rsidRDefault="0065580C" w:rsidP="003E1822">
      <w:pPr>
        <w:pStyle w:val="NoSpacing"/>
        <w:rPr>
          <w:szCs w:val="24"/>
        </w:rPr>
      </w:pPr>
      <w:r w:rsidRPr="001B3304">
        <w:rPr>
          <w:szCs w:val="24"/>
        </w:rPr>
        <w:t>Whether an agreement or arrangement for credit is an agreement or arrangement to receive interest at a criminal rate should be narrowly construed and is determined as of the time the transaction is entered into. </w:t>
      </w:r>
    </w:p>
    <w:p w14:paraId="7876223C" w14:textId="77777777" w:rsidR="0065580C" w:rsidRPr="001B3304" w:rsidRDefault="0065580C" w:rsidP="003E1822">
      <w:pPr>
        <w:pStyle w:val="NoSpacing"/>
        <w:rPr>
          <w:szCs w:val="24"/>
        </w:rPr>
      </w:pPr>
    </w:p>
    <w:p w14:paraId="670C41F8" w14:textId="77777777" w:rsidR="0065580C" w:rsidRPr="001B3304" w:rsidRDefault="0065580C" w:rsidP="003E1822">
      <w:pPr>
        <w:pStyle w:val="NoSpacing"/>
        <w:rPr>
          <w:szCs w:val="24"/>
        </w:rPr>
      </w:pPr>
      <w:r w:rsidRPr="001B3304">
        <w:rPr>
          <w:szCs w:val="24"/>
        </w:rPr>
        <w:lastRenderedPageBreak/>
        <w:t>Section 347(3) deems a person to have knowledge where the person receives a payment or partial payment of interest at a criminal rate.  </w:t>
      </w:r>
    </w:p>
    <w:p w14:paraId="5C4BAFC4" w14:textId="77777777" w:rsidR="0065580C" w:rsidRPr="001B3304" w:rsidRDefault="0065580C" w:rsidP="003E1822">
      <w:pPr>
        <w:pStyle w:val="NoSpacing"/>
        <w:rPr>
          <w:szCs w:val="24"/>
        </w:rPr>
      </w:pPr>
      <w:r w:rsidRPr="001B3304">
        <w:rPr>
          <w:szCs w:val="24"/>
        </w:rPr>
        <w:t>​</w:t>
      </w:r>
    </w:p>
    <w:p w14:paraId="2ACD41E1" w14:textId="33153803" w:rsidR="0065580C" w:rsidRPr="001B3304" w:rsidRDefault="0065580C" w:rsidP="003E1822">
      <w:pPr>
        <w:pStyle w:val="NoSpacing"/>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rPr>
          <w:szCs w:val="24"/>
        </w:rPr>
      </w:pPr>
      <w:r w:rsidRPr="001B3304">
        <w:rPr>
          <w:i/>
          <w:iCs/>
          <w:szCs w:val="24"/>
        </w:rPr>
        <w:t xml:space="preserve">R v </w:t>
      </w:r>
      <w:proofErr w:type="spellStart"/>
      <w:r w:rsidRPr="001B3304">
        <w:rPr>
          <w:i/>
          <w:iCs/>
          <w:szCs w:val="24"/>
        </w:rPr>
        <w:t>Saikaley</w:t>
      </w:r>
      <w:proofErr w:type="spellEnd"/>
      <w:r w:rsidRPr="001B3304">
        <w:rPr>
          <w:i/>
          <w:iCs/>
          <w:szCs w:val="24"/>
        </w:rPr>
        <w:t>, </w:t>
      </w:r>
      <w:r w:rsidRPr="001B3304">
        <w:rPr>
          <w:szCs w:val="24"/>
        </w:rPr>
        <w:t>2017 ONCA 374 at paras 77-114</w:t>
      </w:r>
    </w:p>
    <w:p w14:paraId="4C2F4D4B" w14:textId="548E3E63" w:rsidR="00B473CC" w:rsidRPr="001B3304" w:rsidRDefault="00B473CC" w:rsidP="003E1822">
      <w:pPr>
        <w:pStyle w:val="Heading2"/>
        <w:spacing w:line="276" w:lineRule="auto"/>
      </w:pPr>
      <w:bookmarkStart w:id="112" w:name="_Toc134294150"/>
      <w:r w:rsidRPr="001B3304">
        <w:t>Fraud: S.380</w:t>
      </w:r>
      <w:bookmarkEnd w:id="112"/>
    </w:p>
    <w:p w14:paraId="1037DC50" w14:textId="3C4CC720" w:rsidR="00B473CC" w:rsidRPr="001B3304" w:rsidRDefault="00B473CC" w:rsidP="003E1822">
      <w:pPr>
        <w:pStyle w:val="NoSpacing"/>
        <w:rPr>
          <w:szCs w:val="24"/>
        </w:rPr>
      </w:pPr>
      <w:r w:rsidRPr="001B3304">
        <w:rPr>
          <w:szCs w:val="24"/>
        </w:rPr>
        <w:t>The </w:t>
      </w:r>
      <w:proofErr w:type="spellStart"/>
      <w:r w:rsidRPr="001B3304">
        <w:rPr>
          <w:szCs w:val="24"/>
        </w:rPr>
        <w:t>mens</w:t>
      </w:r>
      <w:proofErr w:type="spellEnd"/>
      <w:r w:rsidRPr="001B3304">
        <w:rPr>
          <w:szCs w:val="24"/>
        </w:rPr>
        <w:t xml:space="preserve"> rea of fraud is established by proof of:</w:t>
      </w:r>
    </w:p>
    <w:p w14:paraId="687FDDA8" w14:textId="77777777" w:rsidR="00B473CC" w:rsidRPr="001B3304" w:rsidRDefault="00B473CC" w:rsidP="003E1822">
      <w:pPr>
        <w:pStyle w:val="NoSpacing"/>
        <w:rPr>
          <w:szCs w:val="24"/>
        </w:rPr>
      </w:pPr>
    </w:p>
    <w:p w14:paraId="4A0BA501" w14:textId="77777777" w:rsidR="00B473CC" w:rsidRPr="001B3304" w:rsidRDefault="00B473CC" w:rsidP="003E1822">
      <w:pPr>
        <w:pStyle w:val="NoSpacing"/>
        <w:rPr>
          <w:szCs w:val="24"/>
        </w:rPr>
      </w:pPr>
      <w:r w:rsidRPr="001B3304">
        <w:rPr>
          <w:szCs w:val="24"/>
        </w:rPr>
        <w:t>1.    subjective knowledge of the prohibited act, be it an act of deceit, a falsehood or some other fraudulent means; and</w:t>
      </w:r>
    </w:p>
    <w:p w14:paraId="3BC5FD31" w14:textId="0C67575E" w:rsidR="00B473CC" w:rsidRPr="001B3304" w:rsidRDefault="00B473CC" w:rsidP="003E1822">
      <w:pPr>
        <w:pStyle w:val="NoSpacing"/>
        <w:rPr>
          <w:szCs w:val="24"/>
        </w:rPr>
      </w:pPr>
      <w:r w:rsidRPr="001B3304">
        <w:rPr>
          <w:szCs w:val="24"/>
        </w:rPr>
        <w:t>2.    subjective knowledge that the prohibited act could have, as a consequence, the deprivation of another (which deprivation may consist in knowledge that the victim’s pecuniary interests are put at risk).</w:t>
      </w:r>
    </w:p>
    <w:p w14:paraId="738F62C0" w14:textId="77777777" w:rsidR="00B473CC" w:rsidRPr="001B3304" w:rsidRDefault="00B473CC" w:rsidP="003E1822">
      <w:pPr>
        <w:pStyle w:val="NoSpacing"/>
        <w:rPr>
          <w:szCs w:val="24"/>
        </w:rPr>
      </w:pPr>
    </w:p>
    <w:p w14:paraId="358F14DF" w14:textId="64F57C92" w:rsidR="00B473CC" w:rsidRPr="001B3304" w:rsidRDefault="00B473CC" w:rsidP="003E1822">
      <w:pPr>
        <w:pStyle w:val="NoSpacing"/>
        <w:rPr>
          <w:szCs w:val="24"/>
        </w:rPr>
      </w:pPr>
      <w:r w:rsidRPr="001B3304">
        <w:rPr>
          <w:szCs w:val="24"/>
        </w:rPr>
        <w:t xml:space="preserve">A person cannot escape criminal responsibility because of a sanguine belief that all will come out right in the end. Many frauds are perpetrated by people who sincerely believe that their act of placing other people’s property at risk will not ultimately result in actual loss to those persons: </w:t>
      </w:r>
      <w:r w:rsidRPr="001B3304">
        <w:rPr>
          <w:i/>
          <w:iCs/>
          <w:szCs w:val="24"/>
        </w:rPr>
        <w:t xml:space="preserve">R v </w:t>
      </w:r>
      <w:proofErr w:type="spellStart"/>
      <w:r w:rsidRPr="001B3304">
        <w:rPr>
          <w:i/>
          <w:iCs/>
          <w:szCs w:val="24"/>
        </w:rPr>
        <w:t>Leclair</w:t>
      </w:r>
      <w:proofErr w:type="spellEnd"/>
      <w:r w:rsidRPr="001B3304">
        <w:rPr>
          <w:i/>
          <w:iCs/>
          <w:szCs w:val="24"/>
        </w:rPr>
        <w:t xml:space="preserve">, </w:t>
      </w:r>
      <w:hyperlink r:id="rId213" w:history="1">
        <w:r w:rsidRPr="001B3304">
          <w:rPr>
            <w:rStyle w:val="Hyperlink"/>
            <w:szCs w:val="24"/>
          </w:rPr>
          <w:t>2020 ONCA 230</w:t>
        </w:r>
      </w:hyperlink>
      <w:r w:rsidRPr="001B3304">
        <w:rPr>
          <w:szCs w:val="24"/>
        </w:rPr>
        <w:t>, at paras 3-4</w:t>
      </w:r>
    </w:p>
    <w:p w14:paraId="6FFC2D8F" w14:textId="4A0A358F" w:rsidR="00B473CC" w:rsidRPr="001B3304" w:rsidRDefault="00B473CC" w:rsidP="003E1822">
      <w:pPr>
        <w:spacing w:line="276" w:lineRule="auto"/>
        <w:rPr>
          <w:rFonts w:ascii="Arial" w:hAnsi="Arial" w:cs="Arial"/>
          <w:lang w:val="en-US"/>
        </w:rPr>
      </w:pPr>
    </w:p>
    <w:p w14:paraId="79F0B453" w14:textId="042CF17B" w:rsidR="001B38BA" w:rsidRPr="001B3304" w:rsidRDefault="001B38BA" w:rsidP="001B38BA">
      <w:pPr>
        <w:pStyle w:val="NoSpacing"/>
        <w:rPr>
          <w:szCs w:val="24"/>
        </w:rPr>
      </w:pPr>
      <w:r w:rsidRPr="001B3304">
        <w:rPr>
          <w:szCs w:val="24"/>
        </w:rPr>
        <w:t xml:space="preserve">Fraud by “other fraudulent means” does not require that the accused subjectively appreciate the dishonesty of his or her acts. The accused must knowingly, i.e., subjectively, undertake the conduct which constitutes the dishonest act, and must subjectively appreciate that the consequences of such conduct could be deprivation, in the sense of causing another to lose his or her pecuniary interest in certain property or in placing that interest at risk: </w:t>
      </w:r>
      <w:r w:rsidRPr="001B3304">
        <w:rPr>
          <w:i/>
          <w:iCs/>
          <w:szCs w:val="24"/>
        </w:rPr>
        <w:t xml:space="preserve">R v Earle, </w:t>
      </w:r>
      <w:hyperlink r:id="rId214" w:history="1">
        <w:r w:rsidRPr="001B3304">
          <w:rPr>
            <w:rStyle w:val="Hyperlink"/>
            <w:szCs w:val="24"/>
          </w:rPr>
          <w:t>2021 ONCA 34</w:t>
        </w:r>
      </w:hyperlink>
      <w:r w:rsidRPr="001B3304">
        <w:rPr>
          <w:szCs w:val="24"/>
        </w:rPr>
        <w:t>, at paras 50-51</w:t>
      </w:r>
    </w:p>
    <w:p w14:paraId="04B59455" w14:textId="77777777" w:rsidR="001B38BA" w:rsidRPr="001B3304" w:rsidRDefault="001B38BA" w:rsidP="003E1822">
      <w:pPr>
        <w:spacing w:line="276" w:lineRule="auto"/>
        <w:rPr>
          <w:rFonts w:ascii="Arial" w:hAnsi="Arial" w:cs="Arial"/>
          <w:lang w:val="en-US"/>
        </w:rPr>
      </w:pPr>
    </w:p>
    <w:p w14:paraId="76A137D8" w14:textId="77777777" w:rsidR="0065580C" w:rsidRPr="001B3304" w:rsidRDefault="0065580C" w:rsidP="003E1822">
      <w:pPr>
        <w:spacing w:before="100" w:beforeAutospacing="1" w:after="100" w:afterAutospacing="1" w:line="276" w:lineRule="auto"/>
        <w:jc w:val="both"/>
        <w:rPr>
          <w:rFonts w:ascii="Arial" w:hAnsi="Arial" w:cs="Arial"/>
        </w:rPr>
      </w:pPr>
    </w:p>
    <w:p w14:paraId="087961B3" w14:textId="75FBF21F" w:rsidR="00A97DEE" w:rsidRPr="001B3304" w:rsidRDefault="006B09AF" w:rsidP="003E1822">
      <w:pPr>
        <w:pStyle w:val="Heading1"/>
        <w:spacing w:line="276" w:lineRule="auto"/>
        <w:rPr>
          <w:rFonts w:ascii="Arial" w:hAnsi="Arial" w:cs="Arial"/>
          <w:sz w:val="24"/>
          <w:szCs w:val="24"/>
        </w:rPr>
      </w:pPr>
      <w:bookmarkStart w:id="113" w:name="_Toc134294151"/>
      <w:r w:rsidRPr="001B3304">
        <w:rPr>
          <w:rFonts w:ascii="Arial" w:hAnsi="Arial" w:cs="Arial"/>
          <w:sz w:val="24"/>
          <w:szCs w:val="24"/>
        </w:rPr>
        <w:t>PART XI: WILFUL AND FORBIDDEN ACTS IN RESPECT OF CERTAIN PROPERTY</w:t>
      </w:r>
      <w:bookmarkEnd w:id="113"/>
    </w:p>
    <w:p w14:paraId="79BA187D" w14:textId="47F66DB2" w:rsidR="00A97DEE" w:rsidRPr="001B3304" w:rsidRDefault="00A97DEE" w:rsidP="003E1822">
      <w:pPr>
        <w:pStyle w:val="Heading2"/>
        <w:numPr>
          <w:ilvl w:val="0"/>
          <w:numId w:val="15"/>
        </w:numPr>
        <w:spacing w:line="276" w:lineRule="auto"/>
      </w:pPr>
      <w:r w:rsidRPr="001B3304">
        <w:tab/>
      </w:r>
      <w:r w:rsidRPr="001B3304">
        <w:tab/>
      </w:r>
      <w:bookmarkStart w:id="114" w:name="_Toc134294152"/>
      <w:r w:rsidR="00DD6403" w:rsidRPr="001B3304">
        <w:t>A</w:t>
      </w:r>
      <w:r w:rsidRPr="001B3304">
        <w:t>rson</w:t>
      </w:r>
      <w:r w:rsidR="002D6263" w:rsidRPr="001B3304">
        <w:t>: s.433</w:t>
      </w:r>
      <w:bookmarkEnd w:id="114"/>
    </w:p>
    <w:p w14:paraId="33A5C66D" w14:textId="77777777" w:rsidR="00A97DEE" w:rsidRPr="001B3304" w:rsidRDefault="00A97DEE" w:rsidP="003E1822">
      <w:pPr>
        <w:pStyle w:val="NoSpacing"/>
        <w:rPr>
          <w:szCs w:val="24"/>
        </w:rPr>
      </w:pPr>
    </w:p>
    <w:p w14:paraId="7CE4F8AB" w14:textId="4ED178A2" w:rsidR="003D26B1" w:rsidRPr="001B3304" w:rsidRDefault="003D26B1" w:rsidP="003E1822">
      <w:pPr>
        <w:pStyle w:val="NoSpacing"/>
        <w:rPr>
          <w:szCs w:val="24"/>
        </w:rPr>
      </w:pPr>
      <w:r w:rsidRPr="001B3304">
        <w:rPr>
          <w:szCs w:val="24"/>
        </w:rPr>
        <w:lastRenderedPageBreak/>
        <w:t>Section 433 is the most serious of the arson-related offences. It creates two crimes, both punishable by up to life imprisonment. Section 433(a) requires proof of two things:</w:t>
      </w:r>
    </w:p>
    <w:p w14:paraId="7724B626" w14:textId="10173645" w:rsidR="003D26B1" w:rsidRPr="001B3304" w:rsidRDefault="003D26B1" w:rsidP="003E1822">
      <w:pPr>
        <w:pStyle w:val="NoSpacing"/>
        <w:numPr>
          <w:ilvl w:val="0"/>
          <w:numId w:val="12"/>
        </w:numPr>
        <w:rPr>
          <w:szCs w:val="24"/>
        </w:rPr>
      </w:pPr>
      <w:r w:rsidRPr="001B3304">
        <w:rPr>
          <w:szCs w:val="24"/>
        </w:rPr>
        <w:t> intentionally or recklessly causing damage to property by fire; and</w:t>
      </w:r>
    </w:p>
    <w:p w14:paraId="566CBDB9" w14:textId="6589B833" w:rsidR="003D26B1" w:rsidRPr="001B3304" w:rsidRDefault="003D26B1" w:rsidP="003E1822">
      <w:pPr>
        <w:pStyle w:val="NoSpacing"/>
        <w:numPr>
          <w:ilvl w:val="0"/>
          <w:numId w:val="12"/>
        </w:numPr>
        <w:rPr>
          <w:szCs w:val="24"/>
        </w:rPr>
      </w:pPr>
      <w:r w:rsidRPr="001B3304">
        <w:rPr>
          <w:szCs w:val="24"/>
        </w:rPr>
        <w:t>knowing that or being reckless with respect to whether the property is inhabited or occupied</w:t>
      </w:r>
    </w:p>
    <w:p w14:paraId="6F6C7323" w14:textId="77777777" w:rsidR="003D26B1" w:rsidRPr="001B3304" w:rsidRDefault="0091055F" w:rsidP="003E1822">
      <w:pPr>
        <w:pStyle w:val="NoSpacing"/>
        <w:rPr>
          <w:szCs w:val="24"/>
        </w:rPr>
      </w:pPr>
      <w:r w:rsidRPr="001B3304">
        <w:rPr>
          <w:szCs w:val="24"/>
        </w:rPr>
        <w:t> </w:t>
      </w:r>
    </w:p>
    <w:p w14:paraId="47C6D09B" w14:textId="2E89F429" w:rsidR="0091055F" w:rsidRPr="001B3304" w:rsidRDefault="0091055F" w:rsidP="003E1822">
      <w:pPr>
        <w:pStyle w:val="NoSpacing"/>
        <w:rPr>
          <w:szCs w:val="24"/>
        </w:rPr>
      </w:pPr>
      <w:r w:rsidRPr="001B3304">
        <w:rPr>
          <w:szCs w:val="24"/>
        </w:rPr>
        <w:t>Section 433(a) targets arsonists who endanger others by setting fires in places in which others live, or in places occupied by others. Knowledge or recklessness of the presence, or perhaps the potential presence, of others in those locations is what warrants characterizing the accused’s actions as the most serious kind of arson</w:t>
      </w:r>
    </w:p>
    <w:p w14:paraId="4B8ED4FD" w14:textId="77777777" w:rsidR="0091055F" w:rsidRPr="001B3304" w:rsidRDefault="0091055F" w:rsidP="003E1822">
      <w:pPr>
        <w:spacing w:line="276" w:lineRule="auto"/>
        <w:jc w:val="both"/>
        <w:rPr>
          <w:rFonts w:ascii="Arial" w:hAnsi="Arial" w:cs="Arial"/>
          <w:b/>
          <w:caps/>
          <w:color w:val="632423" w:themeColor="accent2" w:themeShade="80"/>
          <w:spacing w:val="20"/>
          <w:bdr w:val="none" w:sz="0" w:space="0" w:color="auto" w:frame="1"/>
        </w:rPr>
      </w:pPr>
    </w:p>
    <w:p w14:paraId="418DBB3D" w14:textId="3A19318B" w:rsidR="0091055F" w:rsidRPr="001B3304" w:rsidRDefault="003D26B1" w:rsidP="003E1822">
      <w:pPr>
        <w:spacing w:line="276" w:lineRule="auto"/>
        <w:jc w:val="both"/>
        <w:rPr>
          <w:rFonts w:ascii="Arial" w:hAnsi="Arial" w:cs="Arial"/>
        </w:rPr>
      </w:pPr>
      <w:r w:rsidRPr="001B3304">
        <w:rPr>
          <w:rFonts w:ascii="Arial" w:hAnsi="Arial" w:cs="Arial"/>
          <w:color w:val="000000"/>
        </w:rPr>
        <w:t> Section 433(b), like s. 433(a), requires that the Crown prove that the accused intentionally or recklessly caused damage to property by fire. Unlike s. 433(a), however, s. 433(b) contains no additional </w:t>
      </w:r>
      <w:proofErr w:type="spellStart"/>
      <w:r w:rsidRPr="001B3304">
        <w:rPr>
          <w:rFonts w:ascii="Arial" w:hAnsi="Arial" w:cs="Arial"/>
          <w:i/>
          <w:iCs/>
          <w:color w:val="000000"/>
        </w:rPr>
        <w:t>mens</w:t>
      </w:r>
      <w:proofErr w:type="spellEnd"/>
      <w:r w:rsidRPr="001B3304">
        <w:rPr>
          <w:rFonts w:ascii="Arial" w:hAnsi="Arial" w:cs="Arial"/>
          <w:i/>
          <w:iCs/>
          <w:color w:val="000000"/>
        </w:rPr>
        <w:t xml:space="preserve"> rea</w:t>
      </w:r>
      <w:r w:rsidRPr="001B3304">
        <w:rPr>
          <w:rFonts w:ascii="Arial" w:hAnsi="Arial" w:cs="Arial"/>
          <w:color w:val="000000"/>
        </w:rPr>
        <w:t> requirement. Instead, liability attaches under s. 433(b) if the fire “causes bodily harm to another person”</w:t>
      </w:r>
    </w:p>
    <w:p w14:paraId="7CDFBA2C" w14:textId="29FC6DFF" w:rsidR="007D4474" w:rsidRPr="001B3304" w:rsidRDefault="007D4474" w:rsidP="003E1822">
      <w:pPr>
        <w:spacing w:before="100" w:beforeAutospacing="1" w:after="100" w:afterAutospacing="1" w:line="276" w:lineRule="auto"/>
        <w:jc w:val="both"/>
        <w:rPr>
          <w:rFonts w:ascii="Arial" w:hAnsi="Arial" w:cs="Arial"/>
          <w:color w:val="000000"/>
        </w:rPr>
      </w:pPr>
      <w:r w:rsidRPr="001B3304">
        <w:rPr>
          <w:rFonts w:ascii="Arial" w:hAnsi="Arial" w:cs="Arial"/>
          <w:color w:val="000000"/>
        </w:rPr>
        <w:t> Section 434 creates the offence of intentionally or recklessly causing damage to property by fire. The provision creates a pure property offence that contains no additional </w:t>
      </w:r>
      <w:proofErr w:type="spellStart"/>
      <w:r w:rsidRPr="001B3304">
        <w:rPr>
          <w:rFonts w:ascii="Arial" w:hAnsi="Arial" w:cs="Arial"/>
          <w:i/>
          <w:iCs/>
          <w:color w:val="000000"/>
        </w:rPr>
        <w:t>mens</w:t>
      </w:r>
      <w:proofErr w:type="spellEnd"/>
      <w:r w:rsidRPr="001B3304">
        <w:rPr>
          <w:rFonts w:ascii="Arial" w:hAnsi="Arial" w:cs="Arial"/>
          <w:i/>
          <w:iCs/>
          <w:color w:val="000000"/>
        </w:rPr>
        <w:t xml:space="preserve"> rea</w:t>
      </w:r>
      <w:r w:rsidR="004E7D87" w:rsidRPr="001B3304">
        <w:rPr>
          <w:rFonts w:ascii="Arial" w:hAnsi="Arial" w:cs="Arial"/>
          <w:i/>
          <w:iCs/>
          <w:color w:val="000000"/>
        </w:rPr>
        <w:t xml:space="preserve"> </w:t>
      </w:r>
      <w:r w:rsidRPr="001B3304">
        <w:rPr>
          <w:rFonts w:ascii="Arial" w:hAnsi="Arial" w:cs="Arial"/>
          <w:color w:val="000000"/>
        </w:rPr>
        <w:t>requirement. The section does not require proof that anyone was harmed or endangered by the fire. Section 434 does not, however, apply if the person causing the damage by fire wholly owns the damaged property. A person who intentionally or recklessly causes damage by fire to property that he wholly owns does not commit an offence under s. 434</w:t>
      </w:r>
      <w:bookmarkStart w:id="115" w:name="_ftnref1"/>
      <w:r w:rsidR="000D4B64" w:rsidRPr="001B3304">
        <w:rPr>
          <w:rFonts w:ascii="Arial" w:hAnsi="Arial" w:cs="Arial"/>
          <w:color w:val="000000"/>
        </w:rPr>
        <w:t>.</w:t>
      </w:r>
      <w:bookmarkEnd w:id="115"/>
    </w:p>
    <w:p w14:paraId="2DF61475" w14:textId="039B1AD1" w:rsidR="007D4474" w:rsidRPr="001B3304" w:rsidRDefault="007D4474" w:rsidP="003E1822">
      <w:pPr>
        <w:spacing w:before="100" w:beforeAutospacing="1" w:after="100" w:afterAutospacing="1" w:line="276" w:lineRule="auto"/>
        <w:jc w:val="both"/>
        <w:rPr>
          <w:rFonts w:ascii="Arial" w:hAnsi="Arial" w:cs="Arial"/>
          <w:color w:val="000000"/>
        </w:rPr>
      </w:pPr>
      <w:r w:rsidRPr="001B3304">
        <w:rPr>
          <w:rFonts w:ascii="Arial" w:hAnsi="Arial" w:cs="Arial"/>
          <w:color w:val="000000"/>
        </w:rPr>
        <w:t>Section 434.1 requires proof that:</w:t>
      </w:r>
    </w:p>
    <w:p w14:paraId="547BAAB0" w14:textId="74C8625B" w:rsidR="007D4474" w:rsidRPr="001B3304" w:rsidRDefault="007D4474" w:rsidP="003E1822">
      <w:pPr>
        <w:pStyle w:val="NoSpacing"/>
        <w:numPr>
          <w:ilvl w:val="0"/>
          <w:numId w:val="13"/>
        </w:numPr>
        <w:rPr>
          <w:szCs w:val="24"/>
        </w:rPr>
      </w:pPr>
      <w:r w:rsidRPr="001B3304">
        <w:rPr>
          <w:szCs w:val="24"/>
        </w:rPr>
        <w:t>the accused intentionally or recklessly caused damage to property by fire;</w:t>
      </w:r>
    </w:p>
    <w:p w14:paraId="27500824" w14:textId="4672238F" w:rsidR="007D4474" w:rsidRPr="001B3304" w:rsidRDefault="007D4474" w:rsidP="003E1822">
      <w:pPr>
        <w:pStyle w:val="NoSpacing"/>
        <w:numPr>
          <w:ilvl w:val="0"/>
          <w:numId w:val="13"/>
        </w:numPr>
        <w:rPr>
          <w:szCs w:val="24"/>
        </w:rPr>
      </w:pPr>
      <w:r w:rsidRPr="001B3304">
        <w:rPr>
          <w:szCs w:val="24"/>
        </w:rPr>
        <w:t>the accused owned the property in whole or in part; and</w:t>
      </w:r>
    </w:p>
    <w:p w14:paraId="44551DA0" w14:textId="23CB115F" w:rsidR="007D4474" w:rsidRPr="001B3304" w:rsidRDefault="007D4474" w:rsidP="003E1822">
      <w:pPr>
        <w:pStyle w:val="NoSpacing"/>
        <w:numPr>
          <w:ilvl w:val="0"/>
          <w:numId w:val="13"/>
        </w:numPr>
        <w:rPr>
          <w:szCs w:val="24"/>
        </w:rPr>
      </w:pPr>
      <w:r w:rsidRPr="001B3304">
        <w:rPr>
          <w:szCs w:val="24"/>
        </w:rPr>
        <w:t>the fire threatened the health, safety or property of another person.</w:t>
      </w:r>
    </w:p>
    <w:p w14:paraId="53C6BFA7" w14:textId="54148EA7" w:rsidR="007D4474" w:rsidRPr="001B3304" w:rsidRDefault="007D4474" w:rsidP="003E1822">
      <w:pPr>
        <w:spacing w:before="100" w:beforeAutospacing="1" w:after="100" w:afterAutospacing="1" w:line="276" w:lineRule="auto"/>
        <w:jc w:val="both"/>
        <w:rPr>
          <w:rFonts w:ascii="Arial" w:hAnsi="Arial" w:cs="Arial"/>
          <w:color w:val="000000"/>
        </w:rPr>
      </w:pPr>
      <w:r w:rsidRPr="001B3304">
        <w:rPr>
          <w:rFonts w:ascii="Arial" w:hAnsi="Arial" w:cs="Arial"/>
          <w:color w:val="000000"/>
        </w:rPr>
        <w:t>Section 434.1 applies to an accused who intentionally causes damage by fire to their own property, or to someone else’s property, if that fire seriously threatens the health, safety, or property of another person. </w:t>
      </w:r>
    </w:p>
    <w:p w14:paraId="51794FCC" w14:textId="7CED63C3" w:rsidR="00A530F8" w:rsidRPr="001B3304" w:rsidRDefault="00A530F8" w:rsidP="003E1822">
      <w:pPr>
        <w:spacing w:line="276" w:lineRule="auto"/>
        <w:jc w:val="both"/>
        <w:rPr>
          <w:rFonts w:ascii="Arial" w:hAnsi="Arial" w:cs="Arial"/>
          <w:color w:val="000000"/>
        </w:rPr>
      </w:pPr>
      <w:r w:rsidRPr="001B3304">
        <w:rPr>
          <w:rFonts w:ascii="Arial" w:hAnsi="Arial" w:cs="Arial"/>
          <w:color w:val="000000"/>
        </w:rPr>
        <w:t xml:space="preserve">The provisions outlined above do not make it a crime to intentionally cause damage by fire to one’s own property unless that fire causes bodily harm to another or seriously threatens the health, safety or property of another: </w:t>
      </w:r>
      <w:r w:rsidRPr="001B3304">
        <w:rPr>
          <w:rFonts w:ascii="Arial" w:hAnsi="Arial" w:cs="Arial"/>
          <w:i/>
          <w:color w:val="000000"/>
        </w:rPr>
        <w:t xml:space="preserve">R v Ludwig, </w:t>
      </w:r>
      <w:r w:rsidRPr="001B3304">
        <w:rPr>
          <w:rFonts w:ascii="Arial" w:hAnsi="Arial" w:cs="Arial"/>
          <w:color w:val="000000"/>
        </w:rPr>
        <w:t>2018 ONCA 885 at paras</w:t>
      </w:r>
      <w:r w:rsidR="000D4B64" w:rsidRPr="001B3304">
        <w:rPr>
          <w:rFonts w:ascii="Arial" w:hAnsi="Arial" w:cs="Arial"/>
          <w:color w:val="000000"/>
        </w:rPr>
        <w:t xml:space="preserve"> 32-38</w:t>
      </w:r>
    </w:p>
    <w:p w14:paraId="58DE4425" w14:textId="77777777" w:rsidR="00CF0714" w:rsidRPr="001B3304" w:rsidRDefault="00CF0714" w:rsidP="003E1822">
      <w:pPr>
        <w:spacing w:line="276" w:lineRule="auto"/>
        <w:jc w:val="both"/>
        <w:rPr>
          <w:rFonts w:ascii="Arial" w:hAnsi="Arial" w:cs="Arial"/>
        </w:rPr>
      </w:pPr>
    </w:p>
    <w:p w14:paraId="47F57D1A" w14:textId="164EB2D6" w:rsidR="0065580C" w:rsidRPr="001B3304" w:rsidRDefault="006B09AF" w:rsidP="003E1822">
      <w:pPr>
        <w:pStyle w:val="Heading1"/>
        <w:spacing w:line="276" w:lineRule="auto"/>
        <w:rPr>
          <w:rFonts w:ascii="Arial" w:hAnsi="Arial" w:cs="Arial"/>
          <w:sz w:val="24"/>
          <w:szCs w:val="24"/>
        </w:rPr>
      </w:pPr>
      <w:bookmarkStart w:id="116" w:name="_Toc134294153"/>
      <w:r w:rsidRPr="001B3304">
        <w:rPr>
          <w:rFonts w:ascii="Arial" w:hAnsi="Arial" w:cs="Arial"/>
          <w:sz w:val="24"/>
          <w:szCs w:val="24"/>
        </w:rPr>
        <w:lastRenderedPageBreak/>
        <w:t>PART XIII: ATTEMPTS, CONSPIRACIES, ACCESSORIES</w:t>
      </w:r>
      <w:bookmarkEnd w:id="116"/>
    </w:p>
    <w:p w14:paraId="2FCD28E3" w14:textId="77777777" w:rsidR="0065580C" w:rsidRPr="001B3304" w:rsidRDefault="0065580C" w:rsidP="003E1822">
      <w:pPr>
        <w:pStyle w:val="Heading2"/>
        <w:numPr>
          <w:ilvl w:val="0"/>
          <w:numId w:val="22"/>
        </w:numPr>
        <w:spacing w:line="276" w:lineRule="auto"/>
      </w:pPr>
      <w:bookmarkStart w:id="117" w:name="_Toc134294154"/>
      <w:r w:rsidRPr="001B3304">
        <w:t>Accessory after the fact: s.463</w:t>
      </w:r>
      <w:bookmarkEnd w:id="117"/>
    </w:p>
    <w:p w14:paraId="6CA64928" w14:textId="77777777" w:rsidR="0065580C" w:rsidRPr="001B3304" w:rsidRDefault="0065580C" w:rsidP="003E1822">
      <w:pPr>
        <w:spacing w:line="276" w:lineRule="auto"/>
        <w:rPr>
          <w:rFonts w:ascii="Arial" w:hAnsi="Arial" w:cs="Arial"/>
        </w:rPr>
      </w:pPr>
    </w:p>
    <w:p w14:paraId="47358EB9" w14:textId="501290FF" w:rsidR="0065580C" w:rsidRPr="001B3304" w:rsidRDefault="0065580C" w:rsidP="003E1822">
      <w:pPr>
        <w:pStyle w:val="NoSpacing"/>
        <w:rPr>
          <w:szCs w:val="24"/>
        </w:rPr>
      </w:pPr>
      <w:r w:rsidRPr="001B3304">
        <w:rPr>
          <w:szCs w:val="24"/>
        </w:rPr>
        <w:t>Section 592 of the </w:t>
      </w:r>
      <w:r w:rsidRPr="001B3304">
        <w:rPr>
          <w:i/>
          <w:iCs/>
          <w:szCs w:val="24"/>
        </w:rPr>
        <w:t>Criminal Code </w:t>
      </w:r>
      <w:r w:rsidRPr="001B3304">
        <w:rPr>
          <w:szCs w:val="24"/>
        </w:rPr>
        <w:t>permits proceeding with an accessory after the fact charge prior to the principal’s trial. However, proceeding in this manner places an added burden on the Crown, because proof of guilt of the principal offender is an essential element of the crime of being an accessory after the fact: </w:t>
      </w:r>
      <w:r w:rsidRPr="001B3304">
        <w:rPr>
          <w:i/>
          <w:iCs/>
          <w:szCs w:val="24"/>
        </w:rPr>
        <w:t>R. v. Duong </w:t>
      </w:r>
      <w:r w:rsidRPr="001B3304">
        <w:rPr>
          <w:szCs w:val="24"/>
        </w:rPr>
        <w:t>(1998), 124 C.C.C. (3d) 392 (Ont. C.A.), at para. 27.  If the principal’s murder conviction precedes the accessory after the fact trial, s. 657.2(2) of the </w:t>
      </w:r>
      <w:r w:rsidRPr="001B3304">
        <w:rPr>
          <w:i/>
          <w:iCs/>
          <w:szCs w:val="24"/>
        </w:rPr>
        <w:t>Criminal Code </w:t>
      </w:r>
      <w:r w:rsidRPr="001B3304">
        <w:rPr>
          <w:szCs w:val="24"/>
        </w:rPr>
        <w:t xml:space="preserve">permits evidence of the conviction to be admitted at trial as proof of the principal’s guilt: </w:t>
      </w:r>
      <w:r w:rsidRPr="001B3304">
        <w:rPr>
          <w:i/>
          <w:szCs w:val="24"/>
        </w:rPr>
        <w:t xml:space="preserve">R v </w:t>
      </w:r>
      <w:proofErr w:type="spellStart"/>
      <w:r w:rsidRPr="001B3304">
        <w:rPr>
          <w:i/>
          <w:szCs w:val="24"/>
        </w:rPr>
        <w:t>Dagenais</w:t>
      </w:r>
      <w:proofErr w:type="spellEnd"/>
      <w:r w:rsidRPr="001B3304">
        <w:rPr>
          <w:i/>
          <w:szCs w:val="24"/>
        </w:rPr>
        <w:t xml:space="preserve">, </w:t>
      </w:r>
      <w:r w:rsidRPr="001B3304">
        <w:rPr>
          <w:szCs w:val="24"/>
        </w:rPr>
        <w:t>2018 ONCA 63 at para 7</w:t>
      </w:r>
    </w:p>
    <w:p w14:paraId="6CB12C1E" w14:textId="77777777" w:rsidR="0065580C" w:rsidRPr="001B3304" w:rsidRDefault="0065580C" w:rsidP="003E1822">
      <w:pPr>
        <w:pStyle w:val="Heading2"/>
        <w:spacing w:line="276" w:lineRule="auto"/>
      </w:pPr>
      <w:bookmarkStart w:id="118" w:name="_Toc396168268"/>
      <w:bookmarkStart w:id="119" w:name="_Toc134294155"/>
      <w:r w:rsidRPr="001B3304">
        <w:t>Attempts</w:t>
      </w:r>
      <w:bookmarkEnd w:id="118"/>
      <w:r w:rsidRPr="001B3304">
        <w:t>: S.463</w:t>
      </w:r>
      <w:bookmarkEnd w:id="119"/>
    </w:p>
    <w:p w14:paraId="63F65DBA" w14:textId="77777777" w:rsidR="0065580C" w:rsidRPr="001B3304" w:rsidRDefault="0065580C" w:rsidP="004358F8">
      <w:pPr>
        <w:pStyle w:val="Heading3"/>
        <w:numPr>
          <w:ilvl w:val="0"/>
          <w:numId w:val="40"/>
        </w:numPr>
      </w:pPr>
      <w:bookmarkStart w:id="120" w:name="_Toc396168269"/>
      <w:bookmarkStart w:id="121" w:name="_Toc134294156"/>
      <w:r w:rsidRPr="001B3304">
        <w:t>Actus Reus</w:t>
      </w:r>
      <w:bookmarkEnd w:id="120"/>
      <w:bookmarkEnd w:id="121"/>
    </w:p>
    <w:p w14:paraId="7D7698E2" w14:textId="77777777" w:rsidR="0065580C" w:rsidRPr="001B3304" w:rsidRDefault="0065580C" w:rsidP="003E1822">
      <w:pPr>
        <w:pStyle w:val="NoSpacing"/>
        <w:rPr>
          <w:szCs w:val="24"/>
        </w:rPr>
      </w:pPr>
    </w:p>
    <w:p w14:paraId="49D42105" w14:textId="77777777" w:rsidR="0065580C" w:rsidRPr="001B3304" w:rsidRDefault="0065580C" w:rsidP="003E1822">
      <w:pPr>
        <w:pStyle w:val="NoSpacing"/>
        <w:rPr>
          <w:szCs w:val="24"/>
        </w:rPr>
      </w:pPr>
      <w:r w:rsidRPr="001B3304">
        <w:rPr>
          <w:szCs w:val="24"/>
        </w:rPr>
        <w:t>The accused’s actions must go beyond mere preparation to commit the crime. In R. v. Root, 2008 ONCA 869, [2008] O.J. No. 5214 at para. 100, Watt J.A. described the difference between mere preparation and an attempt to commit an offence: </w:t>
      </w:r>
      <w:r w:rsidRPr="001B3304">
        <w:rPr>
          <w:i/>
          <w:iCs/>
          <w:szCs w:val="24"/>
        </w:rPr>
        <w:t>R v Ellis, </w:t>
      </w:r>
      <w:hyperlink r:id="rId215" w:tgtFrame="_blank" w:history="1">
        <w:r w:rsidRPr="001B3304">
          <w:rPr>
            <w:rStyle w:val="Hyperlink"/>
            <w:bCs/>
            <w:color w:val="auto"/>
            <w:szCs w:val="24"/>
          </w:rPr>
          <w:t>2016 ONCA 358</w:t>
        </w:r>
      </w:hyperlink>
      <w:r w:rsidRPr="001B3304">
        <w:rPr>
          <w:szCs w:val="24"/>
        </w:rPr>
        <w:t> at para 32</w:t>
      </w:r>
    </w:p>
    <w:p w14:paraId="6A038DA9" w14:textId="77777777" w:rsidR="0065580C" w:rsidRPr="001B3304" w:rsidRDefault="0065580C" w:rsidP="003E1822">
      <w:pPr>
        <w:pStyle w:val="NoSpacing"/>
        <w:rPr>
          <w:szCs w:val="24"/>
        </w:rPr>
      </w:pPr>
    </w:p>
    <w:p w14:paraId="255E8C39" w14:textId="7655706F" w:rsidR="0065580C" w:rsidRPr="001B3304" w:rsidRDefault="0065580C" w:rsidP="003E1822">
      <w:pPr>
        <w:pStyle w:val="NoSpacing"/>
        <w:rPr>
          <w:szCs w:val="24"/>
        </w:rPr>
      </w:pPr>
      <w:r w:rsidRPr="001B3304">
        <w:rPr>
          <w:szCs w:val="24"/>
        </w:rPr>
        <w:t>This requirement of proximity, expressed in the divide between preparation and attempt, has to do with the sequence of events leading to the crime that an accused has in mind to commit. To be guilty of an attempt, an accused must have progressed a sufficient distance (beyond mere preparation) down the intended path. An act is proximate if it is the first of a series of similar or related acts intended to result cumulatively in a substantive crime. </w:t>
      </w:r>
    </w:p>
    <w:p w14:paraId="46C75B38" w14:textId="690347C9" w:rsidR="00D64656" w:rsidRPr="001B3304" w:rsidRDefault="00D64656" w:rsidP="003E1822">
      <w:pPr>
        <w:pStyle w:val="NoSpacing"/>
        <w:rPr>
          <w:szCs w:val="24"/>
        </w:rPr>
      </w:pPr>
    </w:p>
    <w:p w14:paraId="7E242089" w14:textId="2BD052E2" w:rsidR="00D64656" w:rsidRPr="001B3304" w:rsidRDefault="00D64656" w:rsidP="003E1822">
      <w:pPr>
        <w:pStyle w:val="NoSpacing"/>
        <w:rPr>
          <w:szCs w:val="24"/>
          <w:lang w:val="en-CA"/>
        </w:rPr>
      </w:pPr>
      <w:r w:rsidRPr="001B3304">
        <w:rPr>
          <w:szCs w:val="24"/>
          <w:lang w:val="en-CA"/>
        </w:rPr>
        <w:t xml:space="preserve">It is for the trial judge to decide, as a matter of law, where on the evidence the line between preparation and attempt must be drawn. It is for the jury to decide whether, on the facts as found by them, that line has been crossed: </w:t>
      </w:r>
      <w:r w:rsidRPr="001B3304">
        <w:rPr>
          <w:i/>
          <w:szCs w:val="24"/>
          <w:lang w:val="en-CA"/>
        </w:rPr>
        <w:t xml:space="preserve">R v </w:t>
      </w:r>
      <w:proofErr w:type="spellStart"/>
      <w:r w:rsidRPr="001B3304">
        <w:rPr>
          <w:i/>
          <w:szCs w:val="24"/>
          <w:lang w:val="en-CA"/>
        </w:rPr>
        <w:t>Hersi</w:t>
      </w:r>
      <w:proofErr w:type="spellEnd"/>
      <w:r w:rsidRPr="001B3304">
        <w:rPr>
          <w:i/>
          <w:szCs w:val="24"/>
          <w:lang w:val="en-CA"/>
        </w:rPr>
        <w:t xml:space="preserve">, </w:t>
      </w:r>
      <w:hyperlink r:id="rId216" w:history="1">
        <w:r w:rsidRPr="001B3304">
          <w:rPr>
            <w:rStyle w:val="Hyperlink"/>
            <w:szCs w:val="24"/>
            <w:lang w:val="en-CA"/>
          </w:rPr>
          <w:t>2019 ONCA 94</w:t>
        </w:r>
      </w:hyperlink>
      <w:r w:rsidRPr="001B3304">
        <w:rPr>
          <w:szCs w:val="24"/>
          <w:lang w:val="en-CA"/>
        </w:rPr>
        <w:t>, at para 45</w:t>
      </w:r>
    </w:p>
    <w:p w14:paraId="3DE5DF0F" w14:textId="1AAF0DB5" w:rsidR="00D64656" w:rsidRPr="001B3304" w:rsidRDefault="00D64656" w:rsidP="003E1822">
      <w:pPr>
        <w:pStyle w:val="NoSpacing"/>
        <w:rPr>
          <w:szCs w:val="24"/>
        </w:rPr>
      </w:pPr>
    </w:p>
    <w:p w14:paraId="721354F9" w14:textId="7FC74EAA" w:rsidR="00496A52" w:rsidRPr="001B3304" w:rsidRDefault="00496A52" w:rsidP="003E1822">
      <w:pPr>
        <w:pStyle w:val="NoSpacing"/>
        <w:rPr>
          <w:szCs w:val="24"/>
        </w:rPr>
      </w:pPr>
      <w:r w:rsidRPr="001B3304">
        <w:rPr>
          <w:szCs w:val="24"/>
        </w:rPr>
        <w:t xml:space="preserve">Impossibility is not a </w:t>
      </w:r>
      <w:proofErr w:type="spellStart"/>
      <w:r w:rsidRPr="001B3304">
        <w:rPr>
          <w:szCs w:val="24"/>
        </w:rPr>
        <w:t>defence</w:t>
      </w:r>
      <w:proofErr w:type="spellEnd"/>
      <w:r w:rsidRPr="001B3304">
        <w:rPr>
          <w:szCs w:val="24"/>
        </w:rPr>
        <w:t xml:space="preserve"> to a charge of attempting to commit a crime: </w:t>
      </w:r>
      <w:r w:rsidRPr="001B3304">
        <w:rPr>
          <w:i/>
          <w:iCs/>
          <w:szCs w:val="24"/>
        </w:rPr>
        <w:t xml:space="preserve">R v Boone, </w:t>
      </w:r>
      <w:hyperlink r:id="rId217" w:history="1">
        <w:r w:rsidRPr="001B3304">
          <w:rPr>
            <w:rStyle w:val="Hyperlink"/>
            <w:szCs w:val="24"/>
          </w:rPr>
          <w:t>2019 ONCA 652</w:t>
        </w:r>
      </w:hyperlink>
      <w:r w:rsidRPr="001B3304">
        <w:rPr>
          <w:szCs w:val="24"/>
        </w:rPr>
        <w:t>, at para 114</w:t>
      </w:r>
    </w:p>
    <w:p w14:paraId="48AD9C57" w14:textId="77777777" w:rsidR="00496A52" w:rsidRPr="001B3304" w:rsidRDefault="00496A52" w:rsidP="003E1822">
      <w:pPr>
        <w:pStyle w:val="NoSpacing"/>
        <w:rPr>
          <w:szCs w:val="24"/>
        </w:rPr>
      </w:pPr>
    </w:p>
    <w:p w14:paraId="37363BE7" w14:textId="77777777" w:rsidR="0065580C" w:rsidRPr="001B3304" w:rsidRDefault="0065580C" w:rsidP="003E1822">
      <w:pPr>
        <w:pStyle w:val="NoSpacing"/>
        <w:rPr>
          <w:szCs w:val="24"/>
        </w:rPr>
      </w:pPr>
    </w:p>
    <w:p w14:paraId="36A4D48D" w14:textId="77777777" w:rsidR="0065580C" w:rsidRPr="001B3304" w:rsidRDefault="0065580C" w:rsidP="004358F8">
      <w:pPr>
        <w:pStyle w:val="Heading3"/>
      </w:pPr>
      <w:bookmarkStart w:id="122" w:name="_Toc396168270"/>
      <w:bookmarkStart w:id="123" w:name="_Toc134294157"/>
      <w:proofErr w:type="spellStart"/>
      <w:r w:rsidRPr="001B3304">
        <w:t>Mens</w:t>
      </w:r>
      <w:proofErr w:type="spellEnd"/>
      <w:r w:rsidRPr="001B3304">
        <w:t xml:space="preserve"> Rea</w:t>
      </w:r>
      <w:bookmarkEnd w:id="122"/>
      <w:bookmarkEnd w:id="123"/>
    </w:p>
    <w:p w14:paraId="6C7AF192" w14:textId="77777777" w:rsidR="0065580C" w:rsidRPr="001B3304" w:rsidRDefault="0065580C" w:rsidP="003E1822">
      <w:pPr>
        <w:pStyle w:val="NoSpacing"/>
        <w:rPr>
          <w:szCs w:val="24"/>
        </w:rPr>
      </w:pPr>
      <w:r w:rsidRPr="001B3304">
        <w:rPr>
          <w:szCs w:val="24"/>
        </w:rPr>
        <w:t>The evidence must establish that the accused intended to perpetrate the specific offence in question, whether committing the offence was possible or not: </w:t>
      </w:r>
      <w:r w:rsidRPr="001B3304">
        <w:rPr>
          <w:i/>
          <w:iCs/>
          <w:szCs w:val="24"/>
        </w:rPr>
        <w:t>R v Ellis, </w:t>
      </w:r>
      <w:hyperlink r:id="rId218" w:tgtFrame="_blank" w:history="1">
        <w:r w:rsidRPr="001B3304">
          <w:rPr>
            <w:rStyle w:val="Hyperlink"/>
            <w:bCs/>
            <w:color w:val="auto"/>
            <w:szCs w:val="24"/>
          </w:rPr>
          <w:t>2016 ONCA 358</w:t>
        </w:r>
      </w:hyperlink>
      <w:r w:rsidRPr="001B3304">
        <w:rPr>
          <w:szCs w:val="24"/>
        </w:rPr>
        <w:t> at para 31</w:t>
      </w:r>
    </w:p>
    <w:p w14:paraId="439271C3" w14:textId="77777777" w:rsidR="0065580C" w:rsidRPr="001B3304" w:rsidRDefault="0065580C" w:rsidP="003E1822">
      <w:pPr>
        <w:pStyle w:val="NoSpacing"/>
        <w:rPr>
          <w:szCs w:val="24"/>
        </w:rPr>
      </w:pPr>
      <w:r w:rsidRPr="001B3304">
        <w:rPr>
          <w:rStyle w:val="wixguard"/>
          <w:b/>
          <w:bCs/>
          <w:szCs w:val="24"/>
        </w:rPr>
        <w:t>​</w:t>
      </w:r>
    </w:p>
    <w:p w14:paraId="64232C44" w14:textId="77777777" w:rsidR="0065580C" w:rsidRPr="001B3304" w:rsidRDefault="0065580C" w:rsidP="003E1822">
      <w:pPr>
        <w:pStyle w:val="Heading2"/>
        <w:spacing w:line="276" w:lineRule="auto"/>
      </w:pPr>
      <w:bookmarkStart w:id="124" w:name="_Toc396168271"/>
      <w:bookmarkStart w:id="125" w:name="_Toc134294158"/>
      <w:r w:rsidRPr="001B3304">
        <w:rPr>
          <w:rStyle w:val="wixguard"/>
        </w:rPr>
        <w:t>​</w:t>
      </w:r>
      <w:r w:rsidRPr="001B3304">
        <w:t>Conspiracy</w:t>
      </w:r>
      <w:bookmarkEnd w:id="124"/>
      <w:r w:rsidRPr="001B3304">
        <w:t>: S.465(1)</w:t>
      </w:r>
      <w:bookmarkEnd w:id="125"/>
    </w:p>
    <w:p w14:paraId="34661228" w14:textId="77777777" w:rsidR="0065580C" w:rsidRPr="001B3304" w:rsidRDefault="0065580C" w:rsidP="004358F8">
      <w:pPr>
        <w:pStyle w:val="Heading3"/>
        <w:numPr>
          <w:ilvl w:val="0"/>
          <w:numId w:val="41"/>
        </w:numPr>
      </w:pPr>
      <w:bookmarkStart w:id="126" w:name="_Toc396168272"/>
      <w:bookmarkStart w:id="127" w:name="_Toc134294159"/>
      <w:r w:rsidRPr="001B3304">
        <w:t>General Principles</w:t>
      </w:r>
      <w:bookmarkEnd w:id="126"/>
      <w:bookmarkEnd w:id="127"/>
    </w:p>
    <w:p w14:paraId="4AD3601F" w14:textId="027EB0A7" w:rsidR="0065580C" w:rsidRPr="001B3304" w:rsidRDefault="0065580C" w:rsidP="003E1822">
      <w:pPr>
        <w:pStyle w:val="NoSpacing"/>
        <w:rPr>
          <w:szCs w:val="24"/>
        </w:rPr>
      </w:pPr>
      <w:r w:rsidRPr="001B3304">
        <w:rPr>
          <w:szCs w:val="24"/>
        </w:rPr>
        <w:t xml:space="preserve">The essential elements of a conspiracy are an intention to agree, the completion of the agreement, and a common design to do something unlawful. The object of the agreement must be a crime. The agreement is complete once there is “a meeting of minds, a consensus to effect an unlawful purpose.” </w:t>
      </w:r>
      <w:r w:rsidRPr="001B3304">
        <w:rPr>
          <w:i/>
          <w:szCs w:val="24"/>
        </w:rPr>
        <w:t>R v Duncan</w:t>
      </w:r>
      <w:r w:rsidRPr="001B3304">
        <w:rPr>
          <w:szCs w:val="24"/>
        </w:rPr>
        <w:t>, 2015 ONCA 928</w:t>
      </w:r>
      <w:r w:rsidR="007D6E00" w:rsidRPr="001B3304">
        <w:rPr>
          <w:szCs w:val="24"/>
        </w:rPr>
        <w:t xml:space="preserve">; see also </w:t>
      </w:r>
      <w:r w:rsidR="007D6E00" w:rsidRPr="001B3304">
        <w:rPr>
          <w:i/>
          <w:iCs/>
          <w:szCs w:val="24"/>
        </w:rPr>
        <w:t xml:space="preserve">R v Dawkins, </w:t>
      </w:r>
      <w:hyperlink r:id="rId219" w:history="1">
        <w:r w:rsidR="007D6E00" w:rsidRPr="001B3304">
          <w:rPr>
            <w:rStyle w:val="Hyperlink"/>
            <w:szCs w:val="24"/>
          </w:rPr>
          <w:t>2021 ONCA 113</w:t>
        </w:r>
      </w:hyperlink>
      <w:r w:rsidR="007D6E00" w:rsidRPr="001B3304">
        <w:rPr>
          <w:szCs w:val="24"/>
        </w:rPr>
        <w:t xml:space="preserve">, at para 8 </w:t>
      </w:r>
    </w:p>
    <w:p w14:paraId="2A1B6C11" w14:textId="2ADD0AEA" w:rsidR="0065580C" w:rsidRPr="001B3304" w:rsidRDefault="0065580C" w:rsidP="003E1822">
      <w:pPr>
        <w:pStyle w:val="NoSpacing"/>
        <w:rPr>
          <w:szCs w:val="24"/>
        </w:rPr>
      </w:pPr>
    </w:p>
    <w:p w14:paraId="1F2C7340" w14:textId="1025D4D3" w:rsidR="00F923AB" w:rsidRPr="001B3304" w:rsidRDefault="00F923AB" w:rsidP="003E1822">
      <w:pPr>
        <w:pStyle w:val="NoSpacing"/>
        <w:rPr>
          <w:szCs w:val="24"/>
          <w:lang w:val="en-CA"/>
        </w:rPr>
      </w:pPr>
      <w:r w:rsidRPr="001B3304">
        <w:rPr>
          <w:szCs w:val="24"/>
          <w:lang w:val="en-CA"/>
        </w:rPr>
        <w:t xml:space="preserve">There is no requirement that all members of a conspiracy play an equal role: </w:t>
      </w:r>
      <w:r w:rsidRPr="001B3304">
        <w:rPr>
          <w:i/>
          <w:iCs/>
          <w:szCs w:val="24"/>
          <w:lang w:val="en-CA"/>
        </w:rPr>
        <w:t xml:space="preserve">R v </w:t>
      </w:r>
      <w:proofErr w:type="spellStart"/>
      <w:r w:rsidRPr="001B3304">
        <w:rPr>
          <w:i/>
          <w:iCs/>
          <w:szCs w:val="24"/>
          <w:lang w:val="en-CA"/>
        </w:rPr>
        <w:t>McGean</w:t>
      </w:r>
      <w:proofErr w:type="spellEnd"/>
      <w:r w:rsidRPr="001B3304">
        <w:rPr>
          <w:i/>
          <w:iCs/>
          <w:szCs w:val="24"/>
          <w:lang w:val="en-CA"/>
        </w:rPr>
        <w:t xml:space="preserve">, </w:t>
      </w:r>
      <w:hyperlink r:id="rId220" w:history="1">
        <w:r w:rsidRPr="001B3304">
          <w:rPr>
            <w:rStyle w:val="Hyperlink"/>
            <w:szCs w:val="24"/>
            <w:lang w:val="en-CA"/>
          </w:rPr>
          <w:t>2019 ONCA 604</w:t>
        </w:r>
      </w:hyperlink>
      <w:r w:rsidRPr="001B3304">
        <w:rPr>
          <w:szCs w:val="24"/>
          <w:lang w:val="en-CA"/>
        </w:rPr>
        <w:t>, at para 20</w:t>
      </w:r>
    </w:p>
    <w:p w14:paraId="34B6F46D" w14:textId="61B48C9F" w:rsidR="00F923AB" w:rsidRPr="001B3304" w:rsidRDefault="00F923AB" w:rsidP="003E1822">
      <w:pPr>
        <w:pStyle w:val="NoSpacing"/>
        <w:rPr>
          <w:szCs w:val="24"/>
        </w:rPr>
      </w:pPr>
    </w:p>
    <w:p w14:paraId="6683AB51" w14:textId="77777777" w:rsidR="00777315" w:rsidRPr="001B3304" w:rsidRDefault="00777315" w:rsidP="003E1822">
      <w:pPr>
        <w:pStyle w:val="NoSpacing"/>
        <w:rPr>
          <w:szCs w:val="24"/>
        </w:rPr>
      </w:pPr>
    </w:p>
    <w:p w14:paraId="790D83BE" w14:textId="77777777" w:rsidR="0065580C" w:rsidRPr="001B3304" w:rsidRDefault="0065580C" w:rsidP="004358F8">
      <w:pPr>
        <w:pStyle w:val="Heading3"/>
      </w:pPr>
      <w:bookmarkStart w:id="128" w:name="_Toc396168273"/>
      <w:bookmarkStart w:id="129" w:name="_Toc134294160"/>
      <w:r w:rsidRPr="001B3304">
        <w:t>Actus Reus</w:t>
      </w:r>
      <w:bookmarkEnd w:id="128"/>
      <w:bookmarkEnd w:id="129"/>
    </w:p>
    <w:p w14:paraId="1683F960" w14:textId="77777777" w:rsidR="0065580C" w:rsidRPr="001B3304" w:rsidRDefault="0065580C" w:rsidP="003E1822">
      <w:pPr>
        <w:pStyle w:val="NoSpacing"/>
        <w:rPr>
          <w:szCs w:val="24"/>
        </w:rPr>
      </w:pPr>
      <w:r w:rsidRPr="001B3304">
        <w:rPr>
          <w:szCs w:val="24"/>
        </w:rPr>
        <w:t>The actus reus of the crime of conspiracy lies in the formation of an agreement, tacit or express, between two or more individuals, to act together in pursuit of a mutual criminal objective. Co-conspirators share a common goal borne out of a meeting of the minds whereby each agrees to act together with the other to achieve a common goal.</w:t>
      </w:r>
    </w:p>
    <w:p w14:paraId="60029A56" w14:textId="77777777" w:rsidR="0065580C" w:rsidRPr="001B3304" w:rsidRDefault="0065580C" w:rsidP="003E1822">
      <w:pPr>
        <w:pStyle w:val="NoSpacing"/>
        <w:rPr>
          <w:szCs w:val="24"/>
        </w:rPr>
      </w:pPr>
      <w:r w:rsidRPr="001B3304">
        <w:rPr>
          <w:szCs w:val="24"/>
        </w:rPr>
        <w:t>​</w:t>
      </w:r>
    </w:p>
    <w:p w14:paraId="5EE7B380" w14:textId="77777777" w:rsidR="0065580C" w:rsidRPr="001B3304" w:rsidRDefault="0065580C" w:rsidP="003E1822">
      <w:pPr>
        <w:pStyle w:val="NoSpacing"/>
        <w:rPr>
          <w:szCs w:val="24"/>
        </w:rPr>
      </w:pPr>
      <w:r w:rsidRPr="001B3304">
        <w:rPr>
          <w:szCs w:val="24"/>
        </w:rPr>
        <w:t>A conspiracy is not established merely by proof of knowledge of the existence of a scheme to commit a crime or by the doing of acts in furtherance of that scheme. Neither knowledge of nor participation in a criminal scheme can be equated with the actus reus of a conspiracy.</w:t>
      </w:r>
    </w:p>
    <w:p w14:paraId="79DE22AB" w14:textId="77777777" w:rsidR="0065580C" w:rsidRPr="001B3304" w:rsidRDefault="0065580C" w:rsidP="003E1822">
      <w:pPr>
        <w:pStyle w:val="NoSpacing"/>
        <w:rPr>
          <w:szCs w:val="24"/>
        </w:rPr>
      </w:pPr>
    </w:p>
    <w:p w14:paraId="59E4ECE9" w14:textId="77777777" w:rsidR="0065580C" w:rsidRPr="001B3304" w:rsidRDefault="0065580C" w:rsidP="003E1822">
      <w:pPr>
        <w:pStyle w:val="NoSpacing"/>
        <w:rPr>
          <w:szCs w:val="24"/>
        </w:rPr>
      </w:pPr>
      <w:r w:rsidRPr="001B3304">
        <w:rPr>
          <w:szCs w:val="24"/>
        </w:rPr>
        <w:lastRenderedPageBreak/>
        <w:t>Knowledge and acts in furtherance of a criminal scheme do, however, provide evidence, particularly where they co-exist, from which the existence of an agreement may be inferred.</w:t>
      </w:r>
    </w:p>
    <w:p w14:paraId="3E618AF9" w14:textId="77777777" w:rsidR="0065580C" w:rsidRPr="001B3304" w:rsidRDefault="0065580C" w:rsidP="003E1822">
      <w:pPr>
        <w:pStyle w:val="NoSpacing"/>
        <w:rPr>
          <w:szCs w:val="24"/>
        </w:rPr>
      </w:pPr>
      <w:r w:rsidRPr="001B3304">
        <w:rPr>
          <w:rStyle w:val="wixguard"/>
          <w:szCs w:val="24"/>
        </w:rPr>
        <w:t>​</w:t>
      </w:r>
    </w:p>
    <w:p w14:paraId="3F1D549D" w14:textId="77777777" w:rsidR="0065580C" w:rsidRPr="001B3304" w:rsidRDefault="0065580C" w:rsidP="003E1822">
      <w:pPr>
        <w:pStyle w:val="NoSpacing"/>
        <w:rPr>
          <w:szCs w:val="24"/>
        </w:rPr>
      </w:pPr>
      <w:r w:rsidRPr="001B3304">
        <w:rPr>
          <w:szCs w:val="24"/>
        </w:rPr>
        <w:t>The "</w:t>
      </w:r>
      <w:proofErr w:type="spellStart"/>
      <w:r w:rsidRPr="001B3304">
        <w:rPr>
          <w:szCs w:val="24"/>
        </w:rPr>
        <w:t>mutality</w:t>
      </w:r>
      <w:proofErr w:type="spellEnd"/>
      <w:r w:rsidRPr="001B3304">
        <w:rPr>
          <w:szCs w:val="24"/>
        </w:rPr>
        <w:t xml:space="preserve"> of object" doctrine asks not whether there were the acts in pursuance of the agreement but whether there was a common agreement to which the acts are referable and to which all of the alleged offenders were privy.</w:t>
      </w:r>
    </w:p>
    <w:p w14:paraId="6343E2ED" w14:textId="77777777" w:rsidR="0065580C" w:rsidRPr="001B3304" w:rsidRDefault="0065580C" w:rsidP="003E1822">
      <w:pPr>
        <w:pStyle w:val="NoSpacing"/>
        <w:rPr>
          <w:szCs w:val="24"/>
        </w:rPr>
      </w:pPr>
    </w:p>
    <w:p w14:paraId="3E657A69" w14:textId="77777777" w:rsidR="0065580C" w:rsidRPr="001B3304" w:rsidRDefault="0065580C" w:rsidP="003E1822">
      <w:pPr>
        <w:pStyle w:val="NoSpacing"/>
        <w:rPr>
          <w:szCs w:val="24"/>
        </w:rPr>
      </w:pPr>
      <w:r w:rsidRPr="001B3304">
        <w:rPr>
          <w:szCs w:val="24"/>
        </w:rPr>
        <w:t>The “mutuality of object” approach requires that each accused be privy to and agree to the larger scheme, although not necessarily to all of the details.</w:t>
      </w:r>
    </w:p>
    <w:p w14:paraId="5615DF97" w14:textId="77777777" w:rsidR="0065580C" w:rsidRPr="001B3304" w:rsidRDefault="0065580C" w:rsidP="003E1822">
      <w:pPr>
        <w:pStyle w:val="NoSpacing"/>
        <w:rPr>
          <w:szCs w:val="24"/>
        </w:rPr>
      </w:pPr>
      <w:r w:rsidRPr="001B3304">
        <w:rPr>
          <w:szCs w:val="24"/>
        </w:rPr>
        <w:t>​</w:t>
      </w:r>
    </w:p>
    <w:p w14:paraId="202F8EB5" w14:textId="77777777" w:rsidR="0065580C" w:rsidRPr="001B3304" w:rsidRDefault="0065580C" w:rsidP="003E1822">
      <w:pPr>
        <w:pStyle w:val="NoSpacing"/>
        <w:rPr>
          <w:szCs w:val="24"/>
        </w:rPr>
      </w:pPr>
      <w:r w:rsidRPr="001B3304">
        <w:rPr>
          <w:szCs w:val="24"/>
        </w:rPr>
        <w:t>​</w:t>
      </w:r>
    </w:p>
    <w:p w14:paraId="5B8269FA" w14:textId="77777777" w:rsidR="0065580C" w:rsidRPr="001B3304" w:rsidRDefault="0065580C" w:rsidP="003E1822">
      <w:pPr>
        <w:pStyle w:val="NoSpacing"/>
        <w:rPr>
          <w:szCs w:val="24"/>
        </w:rPr>
      </w:pPr>
      <w:r w:rsidRPr="001B3304">
        <w:rPr>
          <w:szCs w:val="24"/>
        </w:rPr>
        <w:t xml:space="preserve">For example, the sale of legal products to purchasers whom the seller knows will use the products for some </w:t>
      </w:r>
      <w:proofErr w:type="spellStart"/>
      <w:r w:rsidRPr="001B3304">
        <w:rPr>
          <w:szCs w:val="24"/>
        </w:rPr>
        <w:t>illict</w:t>
      </w:r>
      <w:proofErr w:type="spellEnd"/>
      <w:r w:rsidRPr="001B3304">
        <w:rPr>
          <w:szCs w:val="24"/>
        </w:rPr>
        <w:t xml:space="preserve"> purchase does not in itself infer the existence of a common agreement. Rather, the seller must make the venture his own before he will be guilty as a conspirator or abettor.</w:t>
      </w:r>
    </w:p>
    <w:p w14:paraId="35288CD0" w14:textId="77777777" w:rsidR="0065580C" w:rsidRPr="001B3304" w:rsidRDefault="0065580C" w:rsidP="003E1822">
      <w:pPr>
        <w:pStyle w:val="NoSpacing"/>
        <w:rPr>
          <w:szCs w:val="24"/>
        </w:rPr>
      </w:pPr>
      <w:r w:rsidRPr="001B3304">
        <w:rPr>
          <w:rStyle w:val="wixguard"/>
          <w:szCs w:val="24"/>
        </w:rPr>
        <w:t>​</w:t>
      </w:r>
    </w:p>
    <w:p w14:paraId="6FAEDE1A" w14:textId="77777777" w:rsidR="0065580C" w:rsidRPr="001B3304" w:rsidRDefault="0065580C" w:rsidP="003E1822">
      <w:pPr>
        <w:pStyle w:val="NoSpacing"/>
        <w:rPr>
          <w:szCs w:val="24"/>
        </w:rPr>
      </w:pPr>
      <w:r w:rsidRPr="001B3304">
        <w:rPr>
          <w:rStyle w:val="wixguard"/>
          <w:szCs w:val="24"/>
        </w:rPr>
        <w:t>​</w:t>
      </w:r>
    </w:p>
    <w:p w14:paraId="228B83C8" w14:textId="77777777" w:rsidR="0065580C" w:rsidRPr="001B3304" w:rsidRDefault="0065580C" w:rsidP="003E1822">
      <w:pPr>
        <w:pStyle w:val="NoSpacing"/>
        <w:rPr>
          <w:szCs w:val="24"/>
        </w:rPr>
      </w:pPr>
      <w:r w:rsidRPr="001B3304">
        <w:rPr>
          <w:i/>
          <w:iCs/>
          <w:szCs w:val="24"/>
        </w:rPr>
        <w:t>R v Nguyen, </w:t>
      </w:r>
      <w:hyperlink r:id="rId221" w:tgtFrame="_blank" w:history="1">
        <w:r w:rsidRPr="001B3304">
          <w:rPr>
            <w:rStyle w:val="Hyperlink"/>
            <w:color w:val="auto"/>
            <w:szCs w:val="24"/>
            <w:u w:val="none"/>
          </w:rPr>
          <w:t>2016 ONCA 182</w:t>
        </w:r>
      </w:hyperlink>
      <w:r w:rsidRPr="001B3304">
        <w:rPr>
          <w:szCs w:val="24"/>
        </w:rPr>
        <w:t xml:space="preserve"> at paras 20-25, 30-31 [citations </w:t>
      </w:r>
      <w:proofErr w:type="spellStart"/>
      <w:r w:rsidRPr="001B3304">
        <w:rPr>
          <w:szCs w:val="24"/>
        </w:rPr>
        <w:t>ommitted</w:t>
      </w:r>
      <w:proofErr w:type="spellEnd"/>
      <w:r w:rsidRPr="001B3304">
        <w:rPr>
          <w:szCs w:val="24"/>
        </w:rPr>
        <w:t>]</w:t>
      </w:r>
    </w:p>
    <w:p w14:paraId="5D4B5EB4" w14:textId="77777777" w:rsidR="0065580C" w:rsidRPr="001B3304" w:rsidRDefault="0065580C" w:rsidP="003E1822">
      <w:pPr>
        <w:pStyle w:val="NoSpacing"/>
        <w:rPr>
          <w:szCs w:val="24"/>
        </w:rPr>
      </w:pPr>
    </w:p>
    <w:p w14:paraId="2F7D116F" w14:textId="77777777" w:rsidR="0065580C" w:rsidRPr="001B3304" w:rsidRDefault="0065580C" w:rsidP="004358F8">
      <w:pPr>
        <w:pStyle w:val="Heading3"/>
      </w:pPr>
      <w:bookmarkStart w:id="130" w:name="_Toc396168274"/>
      <w:bookmarkStart w:id="131" w:name="_Toc134294161"/>
      <w:r w:rsidRPr="001B3304">
        <w:t>Party Liability to a Conspiracy</w:t>
      </w:r>
      <w:bookmarkEnd w:id="130"/>
      <w:bookmarkEnd w:id="131"/>
      <w:r w:rsidRPr="001B3304">
        <w:t> </w:t>
      </w:r>
    </w:p>
    <w:p w14:paraId="6C129455" w14:textId="77777777" w:rsidR="0065580C" w:rsidRPr="001B3304" w:rsidRDefault="0065580C" w:rsidP="003E1822">
      <w:pPr>
        <w:pStyle w:val="NoSpacing"/>
        <w:rPr>
          <w:szCs w:val="24"/>
        </w:rPr>
      </w:pPr>
    </w:p>
    <w:p w14:paraId="2CBEFE21" w14:textId="61C3092B" w:rsidR="00B463E9" w:rsidRPr="001B3304" w:rsidRDefault="0065580C" w:rsidP="003E1822">
      <w:pPr>
        <w:pStyle w:val="NoSpacing"/>
        <w:rPr>
          <w:szCs w:val="24"/>
        </w:rPr>
      </w:pPr>
      <w:r w:rsidRPr="001B3304">
        <w:rPr>
          <w:szCs w:val="24"/>
        </w:rPr>
        <w:t>Aiding a conspiracy to achieve its unlawful object does not make someone a party to the conspiracy. Party liability to conspiracy is established only if someone encouraged or assisted the initial formation of the agreement, or encouraged or assisted new members to join a pre-existing agreement: </w:t>
      </w:r>
      <w:r w:rsidRPr="001B3304">
        <w:rPr>
          <w:i/>
          <w:iCs/>
          <w:szCs w:val="24"/>
        </w:rPr>
        <w:t>R v Nguyen, </w:t>
      </w:r>
      <w:hyperlink r:id="rId222" w:tgtFrame="_blank" w:history="1">
        <w:r w:rsidRPr="001B3304">
          <w:rPr>
            <w:rStyle w:val="Hyperlink"/>
            <w:bCs/>
            <w:color w:val="auto"/>
            <w:szCs w:val="24"/>
            <w:u w:val="none"/>
          </w:rPr>
          <w:t>2016 ONCA 182</w:t>
        </w:r>
      </w:hyperlink>
      <w:r w:rsidRPr="001B3304">
        <w:rPr>
          <w:szCs w:val="24"/>
        </w:rPr>
        <w:t> at paras 19-20</w:t>
      </w:r>
    </w:p>
    <w:p w14:paraId="245CC0E6" w14:textId="79C141F1" w:rsidR="0065580C" w:rsidRPr="001B3304" w:rsidRDefault="0065580C" w:rsidP="003E1822">
      <w:pPr>
        <w:pStyle w:val="font7"/>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r w:rsidRPr="001B3304">
        <w:rPr>
          <w:rStyle w:val="wixguard"/>
          <w:rFonts w:ascii="Arial" w:hAnsi="Arial" w:cs="Arial"/>
          <w:b/>
          <w:bCs/>
          <w:sz w:val="24"/>
          <w:szCs w:val="24"/>
          <w:bdr w:val="none" w:sz="0" w:space="0" w:color="auto" w:frame="1"/>
        </w:rPr>
        <w:t>​</w:t>
      </w:r>
    </w:p>
    <w:p w14:paraId="16390185" w14:textId="5FC15CE4" w:rsidR="007D6E00" w:rsidRPr="001B3304" w:rsidRDefault="007D6E00" w:rsidP="004358F8">
      <w:pPr>
        <w:pStyle w:val="Heading3"/>
      </w:pPr>
      <w:bookmarkStart w:id="132" w:name="_Toc134294162"/>
      <w:r w:rsidRPr="001B3304">
        <w:t>Evidentiary Issues</w:t>
      </w:r>
      <w:bookmarkEnd w:id="132"/>
    </w:p>
    <w:p w14:paraId="301B3F0C" w14:textId="77777777" w:rsidR="007D6E00" w:rsidRPr="001B3304" w:rsidRDefault="007D6E00" w:rsidP="007D6E00">
      <w:pPr>
        <w:pStyle w:val="NoSpacing"/>
        <w:rPr>
          <w:szCs w:val="24"/>
        </w:rPr>
      </w:pPr>
    </w:p>
    <w:p w14:paraId="176D0C45" w14:textId="51C91C6E" w:rsidR="007D6E00" w:rsidRPr="001B3304" w:rsidRDefault="007D6E00" w:rsidP="00B20E69">
      <w:pPr>
        <w:pStyle w:val="NoSpacing"/>
        <w:rPr>
          <w:iCs/>
          <w:szCs w:val="24"/>
        </w:rPr>
      </w:pPr>
      <w:r w:rsidRPr="001B3304">
        <w:rPr>
          <w:szCs w:val="24"/>
        </w:rPr>
        <w:t>Pleas of guilty or convictions of other alleged co-conspirators are not admissible to prove the existence or fact of the conspiracy in the trial of another or other alleged co-conspirators: </w:t>
      </w:r>
      <w:r w:rsidRPr="001B3304">
        <w:rPr>
          <w:i/>
          <w:iCs/>
          <w:szCs w:val="24"/>
        </w:rPr>
        <w:t xml:space="preserve">R v </w:t>
      </w:r>
      <w:proofErr w:type="spellStart"/>
      <w:r w:rsidRPr="001B3304">
        <w:rPr>
          <w:i/>
          <w:iCs/>
          <w:szCs w:val="24"/>
        </w:rPr>
        <w:t>Tsekouras</w:t>
      </w:r>
      <w:proofErr w:type="spellEnd"/>
      <w:r w:rsidRPr="001B3304">
        <w:rPr>
          <w:i/>
          <w:iCs/>
          <w:szCs w:val="24"/>
        </w:rPr>
        <w:t xml:space="preserve">, </w:t>
      </w:r>
      <w:hyperlink r:id="rId223" w:history="1">
        <w:r w:rsidRPr="001B3304">
          <w:rPr>
            <w:rStyle w:val="Hyperlink"/>
            <w:iCs/>
            <w:szCs w:val="24"/>
          </w:rPr>
          <w:t>2017 ONCA 290</w:t>
        </w:r>
      </w:hyperlink>
      <w:r w:rsidRPr="001B3304">
        <w:rPr>
          <w:iCs/>
          <w:szCs w:val="24"/>
        </w:rPr>
        <w:t xml:space="preserve"> at para 177; </w:t>
      </w:r>
      <w:r w:rsidRPr="001B3304">
        <w:rPr>
          <w:i/>
          <w:iCs/>
          <w:szCs w:val="24"/>
        </w:rPr>
        <w:t xml:space="preserve">R v Dawkins, </w:t>
      </w:r>
      <w:hyperlink r:id="rId224" w:history="1">
        <w:r w:rsidRPr="001B3304">
          <w:rPr>
            <w:rStyle w:val="Hyperlink"/>
            <w:szCs w:val="24"/>
          </w:rPr>
          <w:t>2021 ONCA 113</w:t>
        </w:r>
      </w:hyperlink>
      <w:r w:rsidRPr="001B3304">
        <w:rPr>
          <w:szCs w:val="24"/>
        </w:rPr>
        <w:t xml:space="preserve">, </w:t>
      </w:r>
      <w:r w:rsidRPr="001B3304">
        <w:rPr>
          <w:iCs/>
          <w:szCs w:val="24"/>
        </w:rPr>
        <w:t>at para 14</w:t>
      </w:r>
    </w:p>
    <w:p w14:paraId="15610269" w14:textId="77777777" w:rsidR="0065580C" w:rsidRPr="001B3304" w:rsidRDefault="0065580C" w:rsidP="003E1822">
      <w:pPr>
        <w:pStyle w:val="Heading2"/>
        <w:spacing w:line="276" w:lineRule="auto"/>
      </w:pPr>
      <w:bookmarkStart w:id="133" w:name="_Toc134294163"/>
      <w:r w:rsidRPr="001B3304">
        <w:t>Criminal organization: s.467.1(1)</w:t>
      </w:r>
      <w:bookmarkEnd w:id="133"/>
      <w:r w:rsidRPr="001B3304">
        <w:t xml:space="preserve"> </w:t>
      </w:r>
    </w:p>
    <w:p w14:paraId="45A63B3A" w14:textId="77777777" w:rsidR="0065580C" w:rsidRPr="001B3304" w:rsidRDefault="0065580C" w:rsidP="004358F8">
      <w:pPr>
        <w:pStyle w:val="Heading3"/>
        <w:numPr>
          <w:ilvl w:val="0"/>
          <w:numId w:val="42"/>
        </w:numPr>
      </w:pPr>
      <w:bookmarkStart w:id="134" w:name="_Toc134294164"/>
      <w:r w:rsidRPr="001B3304">
        <w:lastRenderedPageBreak/>
        <w:t>General Principles</w:t>
      </w:r>
      <w:bookmarkEnd w:id="134"/>
    </w:p>
    <w:p w14:paraId="153B0C0B" w14:textId="77777777" w:rsidR="0065580C" w:rsidRPr="001B3304" w:rsidRDefault="0065580C" w:rsidP="003E1822">
      <w:pPr>
        <w:pStyle w:val="NoSpacing"/>
        <w:rPr>
          <w:szCs w:val="24"/>
          <w:u w:val="single"/>
        </w:rPr>
      </w:pPr>
    </w:p>
    <w:p w14:paraId="1549D206" w14:textId="77777777" w:rsidR="0065580C" w:rsidRPr="001B3304" w:rsidRDefault="0065580C" w:rsidP="003E1822">
      <w:pPr>
        <w:pStyle w:val="NoSpacing"/>
        <w:rPr>
          <w:szCs w:val="24"/>
        </w:rPr>
      </w:pPr>
      <w:r w:rsidRPr="001B3304">
        <w:rPr>
          <w:szCs w:val="24"/>
          <w:u w:val="single"/>
        </w:rPr>
        <w:t>Section 467.1(1) of the </w:t>
      </w:r>
      <w:r w:rsidRPr="001B3304">
        <w:rPr>
          <w:i/>
          <w:iCs/>
          <w:szCs w:val="24"/>
          <w:u w:val="single"/>
        </w:rPr>
        <w:t>Criminal Code</w:t>
      </w:r>
      <w:r w:rsidRPr="001B3304">
        <w:rPr>
          <w:szCs w:val="24"/>
        </w:rPr>
        <w:t> defines a criminal organization, as follows:</w:t>
      </w:r>
    </w:p>
    <w:p w14:paraId="4C0AE35B" w14:textId="77777777" w:rsidR="0065580C" w:rsidRPr="001B3304" w:rsidRDefault="0065580C" w:rsidP="003E1822">
      <w:pPr>
        <w:pStyle w:val="NoSpacing"/>
        <w:rPr>
          <w:szCs w:val="24"/>
        </w:rPr>
      </w:pPr>
    </w:p>
    <w:p w14:paraId="58C0F638" w14:textId="77777777" w:rsidR="0065580C" w:rsidRPr="001B3304" w:rsidRDefault="0065580C" w:rsidP="003E1822">
      <w:pPr>
        <w:pStyle w:val="NoSpacing"/>
        <w:rPr>
          <w:szCs w:val="24"/>
        </w:rPr>
      </w:pPr>
      <w:r w:rsidRPr="001B3304">
        <w:rPr>
          <w:szCs w:val="24"/>
        </w:rPr>
        <w:t>“criminal organization” means a group, however organized, that</w:t>
      </w:r>
    </w:p>
    <w:p w14:paraId="7DB2AC37" w14:textId="77777777" w:rsidR="0065580C" w:rsidRPr="001B3304" w:rsidRDefault="0065580C" w:rsidP="003E1822">
      <w:pPr>
        <w:pStyle w:val="NoSpacing"/>
        <w:ind w:firstLine="720"/>
        <w:rPr>
          <w:szCs w:val="24"/>
        </w:rPr>
      </w:pPr>
    </w:p>
    <w:p w14:paraId="4A85AD12" w14:textId="77777777" w:rsidR="0065580C" w:rsidRPr="001B3304" w:rsidRDefault="0065580C" w:rsidP="003E1822">
      <w:pPr>
        <w:pStyle w:val="NoSpacing"/>
        <w:ind w:firstLine="720"/>
        <w:rPr>
          <w:szCs w:val="24"/>
        </w:rPr>
      </w:pPr>
      <w:r w:rsidRPr="001B3304">
        <w:rPr>
          <w:szCs w:val="24"/>
        </w:rPr>
        <w:t>(a) is composed of three or more persons in or outside Canada; and</w:t>
      </w:r>
    </w:p>
    <w:p w14:paraId="054D6562" w14:textId="77777777" w:rsidR="0065580C" w:rsidRPr="001B3304" w:rsidRDefault="0065580C" w:rsidP="003E1822">
      <w:pPr>
        <w:pStyle w:val="NoSpacing"/>
        <w:ind w:left="720"/>
        <w:rPr>
          <w:szCs w:val="24"/>
        </w:rPr>
      </w:pPr>
    </w:p>
    <w:p w14:paraId="05370BEA" w14:textId="77777777" w:rsidR="0065580C" w:rsidRPr="001B3304" w:rsidRDefault="0065580C" w:rsidP="003E1822">
      <w:pPr>
        <w:pStyle w:val="NoSpacing"/>
        <w:ind w:left="720"/>
        <w:rPr>
          <w:szCs w:val="24"/>
        </w:rPr>
      </w:pPr>
      <w:r w:rsidRPr="001B3304">
        <w:rPr>
          <w:szCs w:val="24"/>
        </w:rPr>
        <w:t>(b) has as one of its main purposes or main activities the facilitation or commission of one or more serious offences that, if committed, would likely result in the direct or indirect receipt of a material benefit, including a financial benefit, by the group or by any of the persons who constitute the group.</w:t>
      </w:r>
    </w:p>
    <w:p w14:paraId="2BD0C309" w14:textId="77777777" w:rsidR="0065580C" w:rsidRPr="001B3304" w:rsidRDefault="0065580C" w:rsidP="003E1822">
      <w:pPr>
        <w:pStyle w:val="NoSpacing"/>
        <w:ind w:left="720"/>
        <w:rPr>
          <w:szCs w:val="24"/>
        </w:rPr>
      </w:pPr>
    </w:p>
    <w:p w14:paraId="6EA82335" w14:textId="77777777" w:rsidR="00553BBF" w:rsidRPr="001B3304" w:rsidRDefault="00553BBF" w:rsidP="00553BBF">
      <w:pPr>
        <w:pStyle w:val="NoSpacing"/>
        <w:rPr>
          <w:szCs w:val="24"/>
        </w:rPr>
      </w:pPr>
      <w:r w:rsidRPr="001B3304">
        <w:rPr>
          <w:szCs w:val="24"/>
        </w:rPr>
        <w:t>Central to the definition of a criminal organization is the presence of some structure and continuity, which differentiates a criminal organization from other groups of offenders who sometimes act in concert: </w:t>
      </w:r>
      <w:r w:rsidRPr="001B3304">
        <w:rPr>
          <w:i/>
          <w:iCs/>
          <w:szCs w:val="24"/>
        </w:rPr>
        <w:t xml:space="preserve">R. v. </w:t>
      </w:r>
      <w:proofErr w:type="spellStart"/>
      <w:r w:rsidRPr="001B3304">
        <w:rPr>
          <w:i/>
          <w:iCs/>
          <w:szCs w:val="24"/>
        </w:rPr>
        <w:t>Venneri</w:t>
      </w:r>
      <w:proofErr w:type="spellEnd"/>
      <w:r w:rsidRPr="001B3304">
        <w:rPr>
          <w:szCs w:val="24"/>
        </w:rPr>
        <w:t>, 2012 SCC 33</w:t>
      </w:r>
    </w:p>
    <w:p w14:paraId="29C2B739" w14:textId="77777777" w:rsidR="00553BBF" w:rsidRPr="001B3304" w:rsidRDefault="00553BBF" w:rsidP="003E1822">
      <w:pPr>
        <w:pStyle w:val="NoSpacing"/>
        <w:rPr>
          <w:szCs w:val="24"/>
        </w:rPr>
      </w:pPr>
    </w:p>
    <w:p w14:paraId="02D6FE80" w14:textId="2DFBC433" w:rsidR="0065580C" w:rsidRPr="001B3304" w:rsidRDefault="0065580C" w:rsidP="003E1822">
      <w:pPr>
        <w:pStyle w:val="NoSpacing"/>
        <w:rPr>
          <w:szCs w:val="24"/>
        </w:rPr>
      </w:pPr>
      <w:r w:rsidRPr="001B3304">
        <w:rPr>
          <w:szCs w:val="24"/>
        </w:rPr>
        <w:t>It does not include a group of persons that forms randomly for the immediate commission of a single offence.</w:t>
      </w:r>
    </w:p>
    <w:p w14:paraId="0CEE19E5" w14:textId="77777777" w:rsidR="0065580C" w:rsidRPr="001B3304" w:rsidRDefault="0065580C" w:rsidP="003E1822">
      <w:pPr>
        <w:pStyle w:val="NoSpacing"/>
        <w:rPr>
          <w:szCs w:val="24"/>
        </w:rPr>
      </w:pPr>
    </w:p>
    <w:p w14:paraId="25640BCF" w14:textId="73517288" w:rsidR="0065580C" w:rsidRPr="001B3304" w:rsidRDefault="0065580C" w:rsidP="003E1822">
      <w:pPr>
        <w:pStyle w:val="NoSpacing"/>
        <w:rPr>
          <w:szCs w:val="24"/>
        </w:rPr>
      </w:pPr>
      <w:r w:rsidRPr="001B3304">
        <w:rPr>
          <w:szCs w:val="24"/>
        </w:rPr>
        <w:t>The determination of whether the existence of a criminal organization has been established is a highly factual one. The guiding question in assessing whether a group of individuals forms a criminal organization is whether the group poses an elevated threat to society due to the ongoing and organized association of their members. Every criminal organization will involve a conspiracy but not every conspiracy is a criminal organization. </w:t>
      </w:r>
    </w:p>
    <w:p w14:paraId="16A3BAD4" w14:textId="77777777" w:rsidR="00D23B96" w:rsidRPr="001B3304" w:rsidRDefault="00D23B96" w:rsidP="003E1822">
      <w:pPr>
        <w:pStyle w:val="NoSpacing"/>
        <w:rPr>
          <w:szCs w:val="24"/>
        </w:rPr>
      </w:pPr>
    </w:p>
    <w:p w14:paraId="0A25D5B7" w14:textId="77777777" w:rsidR="0065580C" w:rsidRPr="001B3304" w:rsidRDefault="0065580C" w:rsidP="003E1822">
      <w:pPr>
        <w:pStyle w:val="NoSpacing"/>
        <w:rPr>
          <w:szCs w:val="24"/>
        </w:rPr>
      </w:pPr>
      <w:r w:rsidRPr="001B3304">
        <w:rPr>
          <w:szCs w:val="24"/>
        </w:rPr>
        <w:t>Stereotypical hallmarks such as territoriality, hierarchy, exclusive membership and violence, are indicia of a criminal organization, but are not necessary conditions. Rather, courts must take a flexible approach, appreciating that criminal organizations have no incentive to conform to any formal structure.</w:t>
      </w:r>
    </w:p>
    <w:p w14:paraId="688489AF" w14:textId="77777777" w:rsidR="0065580C" w:rsidRPr="001B3304" w:rsidRDefault="0065580C" w:rsidP="003E1822">
      <w:pPr>
        <w:pStyle w:val="NoSpacing"/>
        <w:rPr>
          <w:szCs w:val="24"/>
        </w:rPr>
      </w:pPr>
    </w:p>
    <w:p w14:paraId="3FA2E99C" w14:textId="77777777" w:rsidR="0065580C" w:rsidRPr="001B3304" w:rsidRDefault="0065580C" w:rsidP="003E1822">
      <w:pPr>
        <w:pStyle w:val="NoSpacing"/>
        <w:rPr>
          <w:szCs w:val="24"/>
        </w:rPr>
      </w:pPr>
      <w:r w:rsidRPr="001B3304">
        <w:rPr>
          <w:szCs w:val="24"/>
        </w:rPr>
        <w:t xml:space="preserve">Courts have found that criminal organizations exist even in small drug operations, where they involve a division of </w:t>
      </w:r>
      <w:proofErr w:type="spellStart"/>
      <w:r w:rsidRPr="001B3304">
        <w:rPr>
          <w:szCs w:val="24"/>
        </w:rPr>
        <w:t>labour</w:t>
      </w:r>
      <w:proofErr w:type="spellEnd"/>
      <w:r w:rsidRPr="001B3304">
        <w:rPr>
          <w:szCs w:val="24"/>
        </w:rPr>
        <w:t>, temporal continuity, and an intention by the members to advance their illicit goals through the organization.</w:t>
      </w:r>
    </w:p>
    <w:p w14:paraId="67E8DE89" w14:textId="77777777" w:rsidR="0065580C" w:rsidRPr="001B3304" w:rsidRDefault="0065580C" w:rsidP="003E1822">
      <w:pPr>
        <w:pStyle w:val="NoSpacing"/>
        <w:rPr>
          <w:szCs w:val="24"/>
        </w:rPr>
      </w:pPr>
    </w:p>
    <w:p w14:paraId="27AE39D6" w14:textId="28F36BB7" w:rsidR="00EA74C4" w:rsidRPr="001B3304" w:rsidRDefault="0065580C" w:rsidP="00EA74C4">
      <w:pPr>
        <w:pStyle w:val="NoSpacing"/>
        <w:rPr>
          <w:szCs w:val="24"/>
        </w:rPr>
      </w:pPr>
      <w:r w:rsidRPr="001B3304">
        <w:rPr>
          <w:szCs w:val="24"/>
        </w:rPr>
        <w:t>No criminal organization can be said to exist where a group of people have an elaborate scheme and they divide </w:t>
      </w:r>
      <w:proofErr w:type="spellStart"/>
      <w:r w:rsidRPr="001B3304">
        <w:rPr>
          <w:szCs w:val="24"/>
        </w:rPr>
        <w:t>labour</w:t>
      </w:r>
      <w:proofErr w:type="spellEnd"/>
      <w:r w:rsidRPr="001B3304">
        <w:rPr>
          <w:szCs w:val="24"/>
        </w:rPr>
        <w:t xml:space="preserve"> but there is no evidence of any continuity </w:t>
      </w:r>
      <w:r w:rsidRPr="001B3304">
        <w:rPr>
          <w:szCs w:val="24"/>
        </w:rPr>
        <w:lastRenderedPageBreak/>
        <w:t>beyond the one isolated scheme: </w:t>
      </w:r>
      <w:r w:rsidRPr="001B3304">
        <w:rPr>
          <w:i/>
          <w:iCs/>
          <w:szCs w:val="24"/>
        </w:rPr>
        <w:t xml:space="preserve">R v </w:t>
      </w:r>
      <w:proofErr w:type="spellStart"/>
      <w:r w:rsidRPr="001B3304">
        <w:rPr>
          <w:i/>
          <w:iCs/>
          <w:szCs w:val="24"/>
        </w:rPr>
        <w:t>Saikaley</w:t>
      </w:r>
      <w:proofErr w:type="spellEnd"/>
      <w:r w:rsidRPr="001B3304">
        <w:rPr>
          <w:i/>
          <w:iCs/>
          <w:szCs w:val="24"/>
        </w:rPr>
        <w:t>, </w:t>
      </w:r>
      <w:r w:rsidRPr="001B3304">
        <w:rPr>
          <w:szCs w:val="24"/>
          <w:u w:val="single"/>
        </w:rPr>
        <w:t>2017 ONCA 374</w:t>
      </w:r>
      <w:r w:rsidRPr="001B3304">
        <w:rPr>
          <w:szCs w:val="24"/>
        </w:rPr>
        <w:t xml:space="preserve"> at paras 117-127</w:t>
      </w:r>
      <w:r w:rsidR="00EA74C4" w:rsidRPr="001B3304">
        <w:rPr>
          <w:szCs w:val="24"/>
        </w:rPr>
        <w:t xml:space="preserve">; </w:t>
      </w:r>
      <w:r w:rsidR="00EA74C4" w:rsidRPr="001B3304">
        <w:rPr>
          <w:i/>
          <w:iCs/>
          <w:szCs w:val="24"/>
        </w:rPr>
        <w:t xml:space="preserve">R v Abdullahi, </w:t>
      </w:r>
      <w:hyperlink r:id="rId225" w:history="1">
        <w:r w:rsidR="00EA74C4" w:rsidRPr="001B3304">
          <w:rPr>
            <w:rStyle w:val="Hyperlink"/>
            <w:szCs w:val="24"/>
          </w:rPr>
          <w:t>2021 ONCA 82</w:t>
        </w:r>
      </w:hyperlink>
      <w:r w:rsidR="00EA74C4" w:rsidRPr="001B3304">
        <w:rPr>
          <w:szCs w:val="24"/>
        </w:rPr>
        <w:t>, at paras 69-70</w:t>
      </w:r>
    </w:p>
    <w:p w14:paraId="1C473007" w14:textId="77777777" w:rsidR="00EA74C4" w:rsidRPr="001B3304" w:rsidRDefault="00EA74C4" w:rsidP="003E1822">
      <w:pPr>
        <w:spacing w:line="276" w:lineRule="auto"/>
        <w:jc w:val="both"/>
        <w:rPr>
          <w:rFonts w:ascii="Arial" w:hAnsi="Arial" w:cs="Arial"/>
        </w:rPr>
      </w:pPr>
    </w:p>
    <w:p w14:paraId="7853A35E" w14:textId="4DCD60EE" w:rsidR="00D34881" w:rsidRPr="001B3304" w:rsidRDefault="00D34881" w:rsidP="003E1822">
      <w:pPr>
        <w:spacing w:line="276" w:lineRule="auto"/>
        <w:jc w:val="both"/>
        <w:rPr>
          <w:rFonts w:ascii="Arial" w:hAnsi="Arial" w:cs="Arial"/>
        </w:rPr>
      </w:pPr>
    </w:p>
    <w:p w14:paraId="5B0C650C" w14:textId="77777777" w:rsidR="00D34881" w:rsidRPr="001B3304" w:rsidRDefault="00D34881" w:rsidP="003E1822">
      <w:pPr>
        <w:spacing w:line="276" w:lineRule="auto"/>
        <w:jc w:val="both"/>
        <w:rPr>
          <w:rFonts w:ascii="Arial" w:hAnsi="Arial" w:cs="Arial"/>
        </w:rPr>
      </w:pPr>
    </w:p>
    <w:p w14:paraId="4C29A17B" w14:textId="4DB3257B" w:rsidR="00720440" w:rsidRPr="001B3304" w:rsidRDefault="006B09AF" w:rsidP="003E1822">
      <w:pPr>
        <w:pStyle w:val="Heading1"/>
        <w:spacing w:line="276" w:lineRule="auto"/>
        <w:rPr>
          <w:rFonts w:ascii="Arial" w:hAnsi="Arial" w:cs="Arial"/>
          <w:sz w:val="24"/>
          <w:szCs w:val="24"/>
        </w:rPr>
      </w:pPr>
      <w:bookmarkStart w:id="135" w:name="_Toc134294165"/>
      <w:r w:rsidRPr="001B3304">
        <w:rPr>
          <w:rFonts w:ascii="Arial" w:hAnsi="Arial" w:cs="Arial"/>
          <w:sz w:val="24"/>
          <w:szCs w:val="24"/>
        </w:rPr>
        <w:t>PART XXII: PROCURING ATTENDANCE</w:t>
      </w:r>
      <w:bookmarkEnd w:id="135"/>
    </w:p>
    <w:p w14:paraId="2147A09E" w14:textId="703EA623" w:rsidR="00B97C3B" w:rsidRPr="001B3304" w:rsidRDefault="00DD6403" w:rsidP="003E1822">
      <w:pPr>
        <w:pStyle w:val="Heading2"/>
        <w:numPr>
          <w:ilvl w:val="0"/>
          <w:numId w:val="17"/>
        </w:numPr>
        <w:spacing w:line="276" w:lineRule="auto"/>
      </w:pPr>
      <w:bookmarkStart w:id="136" w:name="_Toc134294166"/>
      <w:r w:rsidRPr="001B3304">
        <w:t>Contempt of C</w:t>
      </w:r>
      <w:r w:rsidR="00B97C3B" w:rsidRPr="001B3304">
        <w:t>ourt</w:t>
      </w:r>
      <w:r w:rsidR="00720440" w:rsidRPr="001B3304">
        <w:t>: s.708</w:t>
      </w:r>
      <w:r w:rsidR="00526873" w:rsidRPr="001B3304">
        <w:t>(1)</w:t>
      </w:r>
      <w:bookmarkEnd w:id="136"/>
    </w:p>
    <w:p w14:paraId="53E98884" w14:textId="77777777" w:rsidR="00B97C3B" w:rsidRPr="001B3304" w:rsidRDefault="00B97C3B" w:rsidP="003E1822">
      <w:pPr>
        <w:spacing w:line="276" w:lineRule="auto"/>
        <w:rPr>
          <w:rFonts w:ascii="Arial" w:hAnsi="Arial" w:cs="Arial"/>
        </w:rPr>
      </w:pPr>
    </w:p>
    <w:p w14:paraId="10668E07" w14:textId="2569BA2B" w:rsidR="00B97C3B" w:rsidRPr="001B3304" w:rsidRDefault="00B97C3B" w:rsidP="003E1822">
      <w:pPr>
        <w:spacing w:before="100" w:beforeAutospacing="1" w:after="100" w:afterAutospacing="1" w:line="276" w:lineRule="auto"/>
        <w:jc w:val="both"/>
        <w:rPr>
          <w:rFonts w:ascii="Arial" w:hAnsi="Arial" w:cs="Arial"/>
          <w:color w:val="000000"/>
        </w:rPr>
      </w:pPr>
      <w:r w:rsidRPr="001B3304">
        <w:rPr>
          <w:rFonts w:ascii="Arial" w:hAnsi="Arial" w:cs="Arial"/>
          <w:color w:val="000000"/>
        </w:rPr>
        <w:t>Contempt of court is a very serious crime, which strikes at the heart of the administration of justice. It is a sanction imposed by courts to maintain the dignity and authority of the judge and to ensure a fair trial.</w:t>
      </w:r>
    </w:p>
    <w:p w14:paraId="6B3F9339" w14:textId="550F2F9F" w:rsidR="002A76D7" w:rsidRPr="001B3304" w:rsidRDefault="00B97C3B" w:rsidP="003E1822">
      <w:pPr>
        <w:spacing w:before="100" w:beforeAutospacing="1" w:after="100" w:afterAutospacing="1" w:line="276" w:lineRule="auto"/>
        <w:jc w:val="both"/>
        <w:rPr>
          <w:rFonts w:ascii="Arial" w:hAnsi="Arial" w:cs="Arial"/>
          <w:color w:val="000000"/>
          <w:lang w:val="en"/>
        </w:rPr>
      </w:pPr>
      <w:r w:rsidRPr="001B3304">
        <w:rPr>
          <w:rFonts w:ascii="Arial" w:hAnsi="Arial" w:cs="Arial"/>
          <w:color w:val="000000"/>
          <w:lang w:val="en"/>
        </w:rPr>
        <w:t>Broadly speaking, </w:t>
      </w:r>
      <w:r w:rsidRPr="001B3304">
        <w:rPr>
          <w:rFonts w:ascii="Arial" w:hAnsi="Arial" w:cs="Arial"/>
          <w:color w:val="000000"/>
        </w:rPr>
        <w:t>contempt of court consists of any conduct that obstructs or interferes with the administration of justice or that shows disrespect for the court and its process.</w:t>
      </w:r>
      <w:r w:rsidRPr="001B3304">
        <w:rPr>
          <w:rFonts w:ascii="Arial" w:hAnsi="Arial" w:cs="Arial"/>
          <w:color w:val="000000"/>
          <w:lang w:val="en"/>
        </w:rPr>
        <w:t xml:space="preserve"> It includes a witness’s (including an accused’s) refusal to answer a question properly put to him or her at trial, including the identity of a person involved in criminal activity. It must be remedied in the court in such a way that the jury itself understands that compliance with the relevant law is not optional and understands the consequences for anyone who violates his or her oath: </w:t>
      </w:r>
      <w:r w:rsidRPr="001B3304">
        <w:rPr>
          <w:rFonts w:ascii="Arial" w:hAnsi="Arial" w:cs="Arial"/>
          <w:i/>
          <w:color w:val="000000"/>
          <w:lang w:val="en"/>
        </w:rPr>
        <w:t xml:space="preserve">R v Omar, </w:t>
      </w:r>
      <w:hyperlink r:id="rId226" w:history="1">
        <w:r w:rsidRPr="001B3304">
          <w:rPr>
            <w:rStyle w:val="Hyperlink"/>
            <w:rFonts w:ascii="Arial" w:hAnsi="Arial" w:cs="Arial"/>
            <w:lang w:val="en"/>
          </w:rPr>
          <w:t>2018 ONCA 599</w:t>
        </w:r>
      </w:hyperlink>
      <w:r w:rsidRPr="001B3304">
        <w:rPr>
          <w:rFonts w:ascii="Arial" w:hAnsi="Arial" w:cs="Arial"/>
          <w:color w:val="000000"/>
          <w:lang w:val="en"/>
        </w:rPr>
        <w:t xml:space="preserve"> at paras 22-23</w:t>
      </w:r>
    </w:p>
    <w:p w14:paraId="00FFDEF5" w14:textId="7327501C" w:rsidR="002A76D7" w:rsidRPr="001B3304" w:rsidRDefault="006B09AF" w:rsidP="003E1822">
      <w:pPr>
        <w:pStyle w:val="Heading1"/>
        <w:spacing w:line="276" w:lineRule="auto"/>
        <w:rPr>
          <w:rFonts w:ascii="Arial" w:hAnsi="Arial" w:cs="Arial"/>
          <w:sz w:val="24"/>
          <w:szCs w:val="24"/>
        </w:rPr>
      </w:pPr>
      <w:bookmarkStart w:id="137" w:name="_Toc134294167"/>
      <w:r w:rsidRPr="001B3304">
        <w:rPr>
          <w:rFonts w:ascii="Arial" w:hAnsi="Arial" w:cs="Arial"/>
          <w:sz w:val="24"/>
          <w:szCs w:val="24"/>
        </w:rPr>
        <w:t>PART XXIII: SENTENCING</w:t>
      </w:r>
      <w:bookmarkEnd w:id="137"/>
    </w:p>
    <w:p w14:paraId="73190A2F" w14:textId="77777777" w:rsidR="002A76D7" w:rsidRPr="001B3304" w:rsidRDefault="002A76D7" w:rsidP="003E1822">
      <w:pPr>
        <w:spacing w:line="276" w:lineRule="auto"/>
        <w:rPr>
          <w:rFonts w:ascii="Arial" w:hAnsi="Arial" w:cs="Arial"/>
        </w:rPr>
      </w:pPr>
    </w:p>
    <w:p w14:paraId="22A89B39" w14:textId="304616F7" w:rsidR="002A76D7" w:rsidRPr="001B3304" w:rsidRDefault="00DD6403" w:rsidP="003E1822">
      <w:pPr>
        <w:pStyle w:val="Heading2"/>
        <w:numPr>
          <w:ilvl w:val="0"/>
          <w:numId w:val="26"/>
        </w:numPr>
        <w:spacing w:line="276" w:lineRule="auto"/>
      </w:pPr>
      <w:bookmarkStart w:id="138" w:name="_Toc134294168"/>
      <w:r w:rsidRPr="001B3304">
        <w:t>Breach of P</w:t>
      </w:r>
      <w:r w:rsidR="002A76D7" w:rsidRPr="001B3304">
        <w:t>robation: S. 733.1</w:t>
      </w:r>
      <w:bookmarkEnd w:id="138"/>
    </w:p>
    <w:p w14:paraId="3957992C" w14:textId="77777777" w:rsidR="002A76D7" w:rsidRPr="001B3304" w:rsidRDefault="002A76D7" w:rsidP="003E1822">
      <w:pPr>
        <w:pStyle w:val="NoSpacing"/>
        <w:rPr>
          <w:szCs w:val="24"/>
        </w:rPr>
      </w:pPr>
      <w:r w:rsidRPr="001B3304">
        <w:rPr>
          <w:szCs w:val="24"/>
        </w:rPr>
        <w:t xml:space="preserve">In </w:t>
      </w:r>
      <w:hyperlink r:id="rId227" w:history="1">
        <w:r w:rsidRPr="001B3304">
          <w:rPr>
            <w:i/>
            <w:iCs/>
            <w:color w:val="0000E9"/>
            <w:szCs w:val="24"/>
            <w:u w:val="single" w:color="0000E9"/>
          </w:rPr>
          <w:t>Karman</w:t>
        </w:r>
      </w:hyperlink>
      <w:r w:rsidRPr="001B3304">
        <w:rPr>
          <w:szCs w:val="24"/>
        </w:rPr>
        <w:t xml:space="preserve">, 2018 YKTC 17, the Yukon Territorial Court held that ambiguous terms in a probation order must be interpreted in a manner most </w:t>
      </w:r>
      <w:proofErr w:type="spellStart"/>
      <w:r w:rsidRPr="001B3304">
        <w:rPr>
          <w:szCs w:val="24"/>
        </w:rPr>
        <w:t>favourable</w:t>
      </w:r>
      <w:proofErr w:type="spellEnd"/>
      <w:r w:rsidRPr="001B3304">
        <w:rPr>
          <w:szCs w:val="24"/>
        </w:rPr>
        <w:t xml:space="preserve"> to the accused. The Court held that the term “place of residence” referred to a structure or building and did not apply to the complainant’s entire property. The Court therefore acquitted the accused of passing within 100 feet of the complainant’s property, but within an excess of 100 feet from the complainant’s house. </w:t>
      </w:r>
    </w:p>
    <w:p w14:paraId="13D760B4" w14:textId="2CD015B4" w:rsidR="00B97C3B" w:rsidRPr="001B3304" w:rsidRDefault="00B97C3B" w:rsidP="003E1822">
      <w:pPr>
        <w:spacing w:line="276" w:lineRule="auto"/>
        <w:rPr>
          <w:rFonts w:ascii="Arial" w:hAnsi="Arial" w:cs="Arial"/>
        </w:rPr>
      </w:pPr>
    </w:p>
    <w:p w14:paraId="11107195" w14:textId="77777777" w:rsidR="008520CE" w:rsidRPr="001B3304" w:rsidRDefault="008520CE" w:rsidP="008520CE">
      <w:pPr>
        <w:rPr>
          <w:rFonts w:ascii="Arial" w:hAnsi="Arial" w:cs="Arial"/>
        </w:rPr>
      </w:pPr>
    </w:p>
    <w:p w14:paraId="0B95C5F7" w14:textId="078FC4AA" w:rsidR="00C56330" w:rsidRPr="001B3304" w:rsidRDefault="006B09AF" w:rsidP="003E1822">
      <w:pPr>
        <w:pStyle w:val="Heading1"/>
        <w:spacing w:line="276" w:lineRule="auto"/>
        <w:rPr>
          <w:rFonts w:ascii="Arial" w:hAnsi="Arial" w:cs="Arial"/>
          <w:sz w:val="24"/>
          <w:szCs w:val="24"/>
        </w:rPr>
      </w:pPr>
      <w:bookmarkStart w:id="139" w:name="_Toc134294169"/>
      <w:r w:rsidRPr="001B3304">
        <w:rPr>
          <w:rFonts w:ascii="Arial" w:hAnsi="Arial" w:cs="Arial"/>
          <w:sz w:val="24"/>
          <w:szCs w:val="24"/>
        </w:rPr>
        <w:t>CONTROLLED DRUGS AND SUBSTANCES ACT</w:t>
      </w:r>
      <w:bookmarkEnd w:id="139"/>
      <w:r w:rsidRPr="001B3304">
        <w:rPr>
          <w:rFonts w:ascii="Arial" w:hAnsi="Arial" w:cs="Arial"/>
          <w:sz w:val="24"/>
          <w:szCs w:val="24"/>
        </w:rPr>
        <w:t xml:space="preserve"> </w:t>
      </w:r>
    </w:p>
    <w:p w14:paraId="5FBEE1D8" w14:textId="77777777" w:rsidR="00D74217" w:rsidRPr="001B3304" w:rsidRDefault="00D74217" w:rsidP="003E1822">
      <w:pPr>
        <w:spacing w:before="100" w:beforeAutospacing="1" w:after="100" w:afterAutospacing="1" w:line="276" w:lineRule="auto"/>
        <w:jc w:val="both"/>
        <w:rPr>
          <w:rFonts w:ascii="Arial" w:hAnsi="Arial" w:cs="Arial"/>
        </w:rPr>
      </w:pPr>
    </w:p>
    <w:p w14:paraId="2CCE1B76" w14:textId="77777777" w:rsidR="00D74217" w:rsidRPr="001B3304" w:rsidRDefault="00D74217"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p>
    <w:p w14:paraId="47EFEE48" w14:textId="635DF38D" w:rsidR="00D74217" w:rsidRPr="001B3304" w:rsidRDefault="00D74217"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r w:rsidRPr="001B3304">
        <w:rPr>
          <w:rFonts w:ascii="Arial" w:hAnsi="Arial" w:cs="Arial"/>
        </w:rPr>
        <w:t xml:space="preserve">Click </w:t>
      </w:r>
      <w:hyperlink r:id="rId228" w:history="1">
        <w:r w:rsidRPr="001B3304">
          <w:rPr>
            <w:rStyle w:val="Hyperlink"/>
            <w:rFonts w:ascii="Arial" w:hAnsi="Arial" w:cs="Arial"/>
          </w:rPr>
          <w:t>here</w:t>
        </w:r>
      </w:hyperlink>
      <w:r w:rsidRPr="001B3304">
        <w:rPr>
          <w:rFonts w:ascii="Arial" w:hAnsi="Arial" w:cs="Arial"/>
        </w:rPr>
        <w:t xml:space="preserve"> to read memo on the elements of Possession of a Controlled Substance under s.4(1) of the CDSA </w:t>
      </w:r>
      <w:r w:rsidR="00C56330" w:rsidRPr="001B3304">
        <w:rPr>
          <w:rFonts w:ascii="Arial" w:hAnsi="Arial" w:cs="Arial"/>
        </w:rPr>
        <w:t>​</w:t>
      </w:r>
    </w:p>
    <w:p w14:paraId="38EB0FE8" w14:textId="77777777" w:rsidR="00D74217" w:rsidRPr="001B3304" w:rsidRDefault="00D74217"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p>
    <w:p w14:paraId="0730371C" w14:textId="77777777" w:rsidR="00D74217" w:rsidRPr="001B3304" w:rsidRDefault="00D74217" w:rsidP="003E1822">
      <w:pPr>
        <w:spacing w:before="100" w:beforeAutospacing="1" w:after="100" w:afterAutospacing="1" w:line="276" w:lineRule="auto"/>
        <w:rPr>
          <w:rFonts w:ascii="Arial" w:hAnsi="Arial" w:cs="Arial"/>
        </w:rPr>
      </w:pPr>
    </w:p>
    <w:p w14:paraId="15E02346" w14:textId="5A951366" w:rsidR="00C56330" w:rsidRPr="001B3304" w:rsidRDefault="00C56330" w:rsidP="003E1822">
      <w:pPr>
        <w:pStyle w:val="Heading2"/>
        <w:numPr>
          <w:ilvl w:val="0"/>
          <w:numId w:val="2"/>
        </w:numPr>
        <w:spacing w:line="276" w:lineRule="auto"/>
      </w:pPr>
      <w:bookmarkStart w:id="140" w:name="_Toc134294170"/>
      <w:r w:rsidRPr="001B3304">
        <w:t>Possession - General Principles</w:t>
      </w:r>
      <w:bookmarkEnd w:id="140"/>
    </w:p>
    <w:p w14:paraId="5896413C" w14:textId="77777777" w:rsidR="00901738" w:rsidRPr="001B3304" w:rsidRDefault="00901738" w:rsidP="003E1822">
      <w:pPr>
        <w:pStyle w:val="NoSpacing"/>
        <w:rPr>
          <w:szCs w:val="24"/>
        </w:rPr>
      </w:pPr>
    </w:p>
    <w:p w14:paraId="304C27A6" w14:textId="364C39A1" w:rsidR="00C56330" w:rsidRPr="001B3304" w:rsidRDefault="00C56330" w:rsidP="003E1822">
      <w:pPr>
        <w:pStyle w:val="NoSpacing"/>
        <w:rPr>
          <w:szCs w:val="24"/>
        </w:rPr>
      </w:pPr>
      <w:r w:rsidRPr="001B3304">
        <w:rPr>
          <w:szCs w:val="24"/>
        </w:rPr>
        <w:t xml:space="preserve">​Possession, particularly under s.4(3) of the </w:t>
      </w:r>
      <w:r w:rsidRPr="001B3304">
        <w:rPr>
          <w:i/>
          <w:iCs/>
          <w:szCs w:val="24"/>
        </w:rPr>
        <w:t>CDSA,</w:t>
      </w:r>
      <w:r w:rsidRPr="001B3304">
        <w:rPr>
          <w:szCs w:val="24"/>
        </w:rPr>
        <w:t> may be made out by proof of personal possession, constructive possession or joint possession. Knowledge and control are essential elements in both personal and constructive possession: </w:t>
      </w:r>
      <w:r w:rsidRPr="001B3304">
        <w:rPr>
          <w:i/>
          <w:iCs/>
          <w:szCs w:val="24"/>
        </w:rPr>
        <w:t>R v </w:t>
      </w:r>
      <w:proofErr w:type="spellStart"/>
      <w:r w:rsidRPr="001B3304">
        <w:rPr>
          <w:i/>
          <w:iCs/>
          <w:szCs w:val="24"/>
        </w:rPr>
        <w:t>Pannu</w:t>
      </w:r>
      <w:proofErr w:type="spellEnd"/>
      <w:r w:rsidRPr="001B3304">
        <w:rPr>
          <w:i/>
          <w:iCs/>
          <w:szCs w:val="24"/>
        </w:rPr>
        <w:t xml:space="preserve">, </w:t>
      </w:r>
      <w:r w:rsidRPr="001B3304">
        <w:rPr>
          <w:szCs w:val="24"/>
          <w:u w:val="single"/>
        </w:rPr>
        <w:t>2015 ONCA 677</w:t>
      </w:r>
      <w:r w:rsidRPr="001B3304">
        <w:rPr>
          <w:i/>
          <w:iCs/>
          <w:szCs w:val="24"/>
        </w:rPr>
        <w:t> </w:t>
      </w:r>
      <w:r w:rsidRPr="001B3304">
        <w:rPr>
          <w:szCs w:val="24"/>
        </w:rPr>
        <w:t>at para 155</w:t>
      </w:r>
    </w:p>
    <w:p w14:paraId="254B9FF8" w14:textId="77777777" w:rsidR="00E62EAD" w:rsidRPr="001B3304" w:rsidRDefault="00E62EAD" w:rsidP="003E1822">
      <w:pPr>
        <w:pStyle w:val="NoSpacing"/>
        <w:rPr>
          <w:szCs w:val="24"/>
        </w:rPr>
      </w:pPr>
    </w:p>
    <w:p w14:paraId="7499E058" w14:textId="00B92DDE" w:rsidR="00C56330" w:rsidRPr="001B3304" w:rsidRDefault="00C56330" w:rsidP="003E1822">
      <w:pPr>
        <w:pStyle w:val="NoSpacing"/>
        <w:rPr>
          <w:szCs w:val="24"/>
        </w:rPr>
      </w:pPr>
      <w:r w:rsidRPr="001B3304">
        <w:rPr>
          <w:szCs w:val="24"/>
        </w:rPr>
        <w:t xml:space="preserve">Possession is a conduct crime that begins when possession is gained and continues until it is relinquished. In this sense, possession can be seen as a continuing offence: </w:t>
      </w:r>
      <w:proofErr w:type="spellStart"/>
      <w:r w:rsidRPr="001B3304">
        <w:rPr>
          <w:i/>
          <w:iCs/>
          <w:szCs w:val="24"/>
        </w:rPr>
        <w:t>Pannu</w:t>
      </w:r>
      <w:proofErr w:type="spellEnd"/>
      <w:r w:rsidRPr="001B3304">
        <w:rPr>
          <w:szCs w:val="24"/>
        </w:rPr>
        <w:t>, at para 123</w:t>
      </w:r>
    </w:p>
    <w:p w14:paraId="5B214C2D" w14:textId="277452D6" w:rsidR="00D45D14" w:rsidRPr="001B3304" w:rsidRDefault="00D45D14" w:rsidP="003E1822">
      <w:pPr>
        <w:pStyle w:val="NoSpacing"/>
        <w:rPr>
          <w:szCs w:val="24"/>
        </w:rPr>
      </w:pPr>
    </w:p>
    <w:p w14:paraId="312B2FEB" w14:textId="6C3B3A33" w:rsidR="00D45D14" w:rsidRPr="001B3304" w:rsidRDefault="00D45D14" w:rsidP="003E1822">
      <w:pPr>
        <w:pStyle w:val="NoSpacing"/>
        <w:rPr>
          <w:szCs w:val="24"/>
        </w:rPr>
      </w:pPr>
      <w:r w:rsidRPr="001B3304">
        <w:rPr>
          <w:szCs w:val="24"/>
        </w:rPr>
        <w:t>When personal possession is alleged, the knowledge element consists of two components. An accused must be aware that they have physical custody of the thing alleged. And an accused must be aware of what that thing is. These elements of knowledge must co-exist with an act of control: </w:t>
      </w:r>
      <w:r w:rsidRPr="001B3304">
        <w:rPr>
          <w:i/>
          <w:iCs/>
          <w:szCs w:val="24"/>
        </w:rPr>
        <w:t xml:space="preserve">R v Lights, </w:t>
      </w:r>
      <w:hyperlink r:id="rId229" w:history="1">
        <w:r w:rsidRPr="001B3304">
          <w:rPr>
            <w:rStyle w:val="Hyperlink"/>
            <w:szCs w:val="24"/>
          </w:rPr>
          <w:t>2020 ONCA 128</w:t>
        </w:r>
      </w:hyperlink>
      <w:r w:rsidRPr="001B3304">
        <w:rPr>
          <w:szCs w:val="24"/>
        </w:rPr>
        <w:t>, at para 45</w:t>
      </w:r>
    </w:p>
    <w:p w14:paraId="22C9A257" w14:textId="677EEED6" w:rsidR="00E62EAD" w:rsidRPr="001B3304" w:rsidRDefault="00E62EAD" w:rsidP="003E1822">
      <w:pPr>
        <w:pStyle w:val="NoSpacing"/>
        <w:rPr>
          <w:szCs w:val="24"/>
        </w:rPr>
      </w:pPr>
    </w:p>
    <w:p w14:paraId="20052583" w14:textId="0223ED68" w:rsidR="00D45D14" w:rsidRPr="001B3304" w:rsidRDefault="00D45D14" w:rsidP="003E1822">
      <w:pPr>
        <w:pStyle w:val="NoSpacing"/>
        <w:rPr>
          <w:szCs w:val="24"/>
        </w:rPr>
      </w:pPr>
      <w:r w:rsidRPr="001B3304">
        <w:rPr>
          <w:szCs w:val="24"/>
        </w:rPr>
        <w:t>When things are found in a premises or place occupied by an accused, no presumption of knowledge and control arises from proof of occupancy. Put simply, occupancy does not create a presumption of possession</w:t>
      </w:r>
      <w:r w:rsidR="00066656" w:rsidRPr="001B3304">
        <w:rPr>
          <w:szCs w:val="24"/>
        </w:rPr>
        <w:t xml:space="preserve">. In some instances, occupancy of premises, more particularly, the authority to control access to them, </w:t>
      </w:r>
      <w:r w:rsidR="00066656" w:rsidRPr="001B3304">
        <w:rPr>
          <w:szCs w:val="24"/>
        </w:rPr>
        <w:lastRenderedPageBreak/>
        <w:t>may support an inference of control over drugs found there when coupled with evidence of knowledge:</w:t>
      </w:r>
      <w:r w:rsidRPr="001B3304">
        <w:rPr>
          <w:szCs w:val="24"/>
        </w:rPr>
        <w:t> </w:t>
      </w:r>
      <w:r w:rsidRPr="001B3304">
        <w:rPr>
          <w:i/>
          <w:iCs/>
          <w:szCs w:val="24"/>
        </w:rPr>
        <w:t xml:space="preserve">R v Lights, </w:t>
      </w:r>
      <w:hyperlink r:id="rId230" w:history="1">
        <w:r w:rsidRPr="001B3304">
          <w:rPr>
            <w:rStyle w:val="Hyperlink"/>
            <w:szCs w:val="24"/>
          </w:rPr>
          <w:t>2020 ONCA 128</w:t>
        </w:r>
      </w:hyperlink>
      <w:r w:rsidRPr="001B3304">
        <w:rPr>
          <w:szCs w:val="24"/>
        </w:rPr>
        <w:t>, at para</w:t>
      </w:r>
      <w:r w:rsidR="00066656" w:rsidRPr="001B3304">
        <w:rPr>
          <w:szCs w:val="24"/>
        </w:rPr>
        <w:t>s</w:t>
      </w:r>
      <w:r w:rsidRPr="001B3304">
        <w:rPr>
          <w:szCs w:val="24"/>
        </w:rPr>
        <w:t xml:space="preserve"> 50</w:t>
      </w:r>
      <w:r w:rsidR="00066656" w:rsidRPr="001B3304">
        <w:rPr>
          <w:szCs w:val="24"/>
        </w:rPr>
        <w:t>, 98</w:t>
      </w:r>
    </w:p>
    <w:p w14:paraId="37576B2D" w14:textId="2FB76043" w:rsidR="00544E34" w:rsidRPr="001B3304" w:rsidRDefault="00544E34" w:rsidP="003E1822">
      <w:pPr>
        <w:pStyle w:val="NoSpacing"/>
        <w:rPr>
          <w:szCs w:val="24"/>
        </w:rPr>
      </w:pPr>
    </w:p>
    <w:p w14:paraId="28F4BCB0" w14:textId="081CAEC7" w:rsidR="00544E34" w:rsidRPr="001B3304" w:rsidRDefault="00544E34" w:rsidP="003E1822">
      <w:pPr>
        <w:pStyle w:val="NoSpacing"/>
        <w:rPr>
          <w:szCs w:val="24"/>
        </w:rPr>
      </w:pPr>
      <w:r w:rsidRPr="001B3304">
        <w:rPr>
          <w:szCs w:val="24"/>
        </w:rPr>
        <w:t xml:space="preserve">A trial judge may rely on the common sense inference that guns and drugs are valuable items which would not be entrusted to just anyone: </w:t>
      </w:r>
      <w:r w:rsidRPr="001B3304">
        <w:rPr>
          <w:i/>
          <w:iCs/>
          <w:szCs w:val="24"/>
        </w:rPr>
        <w:t xml:space="preserve">R v Buchanan, </w:t>
      </w:r>
      <w:r w:rsidRPr="001B3304">
        <w:rPr>
          <w:szCs w:val="24"/>
        </w:rPr>
        <w:t>2020 ONCA 245</w:t>
      </w:r>
      <w:r w:rsidR="00693544" w:rsidRPr="001B3304">
        <w:rPr>
          <w:szCs w:val="24"/>
        </w:rPr>
        <w:t xml:space="preserve">; </w:t>
      </w:r>
      <w:r w:rsidR="00693544" w:rsidRPr="001B3304">
        <w:rPr>
          <w:i/>
          <w:iCs/>
          <w:szCs w:val="24"/>
        </w:rPr>
        <w:t xml:space="preserve">R v Thompson, </w:t>
      </w:r>
      <w:hyperlink r:id="rId231" w:history="1">
        <w:r w:rsidR="00693544" w:rsidRPr="001B3304">
          <w:rPr>
            <w:rStyle w:val="Hyperlink"/>
            <w:szCs w:val="24"/>
          </w:rPr>
          <w:t>2020 ONCA 361,</w:t>
        </w:r>
      </w:hyperlink>
      <w:r w:rsidR="00693544" w:rsidRPr="001B3304">
        <w:rPr>
          <w:szCs w:val="24"/>
        </w:rPr>
        <w:t xml:space="preserve"> at para 11</w:t>
      </w:r>
    </w:p>
    <w:p w14:paraId="0B9D6C00" w14:textId="77777777" w:rsidR="00D45D14" w:rsidRPr="001B3304" w:rsidRDefault="00D45D14" w:rsidP="003E1822">
      <w:pPr>
        <w:pStyle w:val="NoSpacing"/>
        <w:rPr>
          <w:szCs w:val="24"/>
        </w:rPr>
      </w:pPr>
    </w:p>
    <w:p w14:paraId="6E4D5929" w14:textId="3BCCE36B" w:rsidR="00E62EAD" w:rsidRPr="001B3304" w:rsidRDefault="00C56330" w:rsidP="003E1822">
      <w:pPr>
        <w:pStyle w:val="NoSpacing"/>
        <w:rPr>
          <w:rStyle w:val="Hyperlink"/>
          <w:szCs w:val="24"/>
          <w:shd w:val="clear" w:color="auto" w:fill="FFFFFF"/>
          <w:lang w:val="en-CA"/>
        </w:rPr>
      </w:pPr>
      <w:r w:rsidRPr="001B3304">
        <w:rPr>
          <w:szCs w:val="24"/>
        </w:rPr>
        <w:t>​</w:t>
      </w:r>
      <w:r w:rsidR="00E62EAD" w:rsidRPr="001B3304">
        <w:rPr>
          <w:szCs w:val="24"/>
        </w:rPr>
        <w:t xml:space="preserve">In </w:t>
      </w:r>
      <w:r w:rsidR="00E62EAD" w:rsidRPr="001B3304">
        <w:rPr>
          <w:i/>
          <w:iCs/>
          <w:szCs w:val="24"/>
        </w:rPr>
        <w:t xml:space="preserve">Brake, </w:t>
      </w:r>
      <w:r w:rsidR="00E62EAD" w:rsidRPr="001B3304">
        <w:rPr>
          <w:szCs w:val="24"/>
        </w:rPr>
        <w:t xml:space="preserve">the Newfoundland Court of Appeal overturned the Appellant’s conviction for possession on the basis that, </w:t>
      </w:r>
      <w:r w:rsidR="00E62EAD" w:rsidRPr="001B3304">
        <w:rPr>
          <w:szCs w:val="24"/>
          <w:shd w:val="clear" w:color="auto" w:fill="FFFFFF"/>
          <w:lang w:val="en-CA"/>
        </w:rPr>
        <w:t xml:space="preserve">while the Trial Judge may have found that the Appellant had knowledge of the cocaine, the reasons do not include an explicit finding that he also had control of the brick of cocaine: </w:t>
      </w:r>
      <w:r w:rsidR="00E62EAD" w:rsidRPr="001B3304">
        <w:rPr>
          <w:i/>
          <w:iCs/>
          <w:szCs w:val="24"/>
          <w:shd w:val="clear" w:color="auto" w:fill="FFFFFF"/>
          <w:lang w:val="en-CA"/>
        </w:rPr>
        <w:t xml:space="preserve">R v Brake, </w:t>
      </w:r>
      <w:hyperlink r:id="rId232" w:history="1">
        <w:r w:rsidR="00E62EAD" w:rsidRPr="001B3304">
          <w:rPr>
            <w:rStyle w:val="Hyperlink"/>
            <w:szCs w:val="24"/>
            <w:shd w:val="clear" w:color="auto" w:fill="FFFFFF"/>
            <w:lang w:val="en-CA"/>
          </w:rPr>
          <w:t>2019 NLCA 20</w:t>
        </w:r>
      </w:hyperlink>
    </w:p>
    <w:p w14:paraId="6987BA05" w14:textId="77777777" w:rsidR="004A7C71" w:rsidRPr="001B3304" w:rsidRDefault="004A7C71" w:rsidP="004A7C71">
      <w:pPr>
        <w:pStyle w:val="NoSpacing"/>
        <w:rPr>
          <w:szCs w:val="24"/>
        </w:rPr>
      </w:pPr>
    </w:p>
    <w:p w14:paraId="20B212AB" w14:textId="7427407B" w:rsidR="004A7C71" w:rsidRPr="001B3304" w:rsidRDefault="004A7C71" w:rsidP="004A7C71">
      <w:pPr>
        <w:pStyle w:val="NoSpacing"/>
        <w:rPr>
          <w:szCs w:val="24"/>
        </w:rPr>
      </w:pPr>
      <w:r w:rsidRPr="001B3304">
        <w:rPr>
          <w:szCs w:val="24"/>
        </w:rPr>
        <w:t xml:space="preserve">It is reasonable to infer that a person who volunteers information about the contents of a package knows what is contained in the package: </w:t>
      </w:r>
      <w:r w:rsidRPr="001B3304">
        <w:rPr>
          <w:i/>
          <w:iCs/>
          <w:szCs w:val="24"/>
        </w:rPr>
        <w:t>R v Zamora</w:t>
      </w:r>
      <w:hyperlink r:id="rId233" w:history="1">
        <w:r w:rsidRPr="001B3304">
          <w:rPr>
            <w:rStyle w:val="Hyperlink"/>
            <w:i/>
            <w:iCs/>
            <w:szCs w:val="24"/>
          </w:rPr>
          <w:t xml:space="preserve">, </w:t>
        </w:r>
        <w:r w:rsidRPr="001B3304">
          <w:rPr>
            <w:rStyle w:val="Hyperlink"/>
            <w:szCs w:val="24"/>
          </w:rPr>
          <w:t>2021 ONCA 354</w:t>
        </w:r>
      </w:hyperlink>
      <w:r w:rsidRPr="001B3304">
        <w:rPr>
          <w:szCs w:val="24"/>
        </w:rPr>
        <w:t>, at para 34</w:t>
      </w:r>
    </w:p>
    <w:p w14:paraId="20E19410" w14:textId="77777777" w:rsidR="004A7C71" w:rsidRPr="001B3304" w:rsidRDefault="004A7C71" w:rsidP="004A7C71">
      <w:pPr>
        <w:pStyle w:val="NoSpacing"/>
        <w:rPr>
          <w:szCs w:val="24"/>
        </w:rPr>
      </w:pPr>
    </w:p>
    <w:p w14:paraId="23344FBD" w14:textId="0460D0EB" w:rsidR="004A7C71" w:rsidRPr="001B3304" w:rsidRDefault="004A7C71" w:rsidP="004A7C71">
      <w:pPr>
        <w:pStyle w:val="NoSpacing"/>
        <w:rPr>
          <w:szCs w:val="24"/>
        </w:rPr>
      </w:pPr>
      <w:r w:rsidRPr="001B3304">
        <w:rPr>
          <w:szCs w:val="24"/>
        </w:rPr>
        <w:t>Where the subject matter of which an accused is alleged to be in possession is a controlled substance of significant value, it may be open to a trier of fact to infer not only knowledge of the nature of the subject, but also knowledge of the substance itself. It is a reasonable inference that such a valuable quantity of drugs would not be entrusted to anyone who did not know the nature of the contents of the bag or other container: </w:t>
      </w:r>
      <w:r w:rsidRPr="001B3304">
        <w:rPr>
          <w:i/>
          <w:iCs/>
          <w:szCs w:val="24"/>
        </w:rPr>
        <w:t>R v </w:t>
      </w:r>
      <w:proofErr w:type="spellStart"/>
      <w:r w:rsidRPr="001B3304">
        <w:rPr>
          <w:i/>
          <w:iCs/>
          <w:szCs w:val="24"/>
        </w:rPr>
        <w:t>Pannu</w:t>
      </w:r>
      <w:proofErr w:type="spellEnd"/>
      <w:r w:rsidRPr="001B3304">
        <w:rPr>
          <w:szCs w:val="24"/>
        </w:rPr>
        <w:t xml:space="preserve">, </w:t>
      </w:r>
      <w:r w:rsidRPr="001B3304">
        <w:rPr>
          <w:szCs w:val="24"/>
          <w:u w:val="single"/>
        </w:rPr>
        <w:t>2015 ONCA 677</w:t>
      </w:r>
      <w:r w:rsidRPr="001B3304">
        <w:rPr>
          <w:szCs w:val="24"/>
        </w:rPr>
        <w:t xml:space="preserve"> at para 157; </w:t>
      </w:r>
      <w:r w:rsidRPr="001B3304">
        <w:rPr>
          <w:i/>
          <w:iCs/>
          <w:szCs w:val="24"/>
        </w:rPr>
        <w:t>R v Zamora</w:t>
      </w:r>
      <w:hyperlink r:id="rId234" w:history="1">
        <w:r w:rsidRPr="001B3304">
          <w:rPr>
            <w:rStyle w:val="Hyperlink"/>
            <w:i/>
            <w:iCs/>
            <w:szCs w:val="24"/>
          </w:rPr>
          <w:t xml:space="preserve">, </w:t>
        </w:r>
        <w:r w:rsidRPr="001B3304">
          <w:rPr>
            <w:rStyle w:val="Hyperlink"/>
            <w:szCs w:val="24"/>
          </w:rPr>
          <w:t>2021 ONCA 354</w:t>
        </w:r>
      </w:hyperlink>
      <w:r w:rsidRPr="001B3304">
        <w:rPr>
          <w:szCs w:val="24"/>
        </w:rPr>
        <w:t>, at para 35</w:t>
      </w:r>
    </w:p>
    <w:p w14:paraId="28E3BFE2" w14:textId="77777777" w:rsidR="004A7C71" w:rsidRPr="001B3304" w:rsidRDefault="004A7C71" w:rsidP="004A7C71">
      <w:pPr>
        <w:pStyle w:val="NoSpacing"/>
        <w:rPr>
          <w:szCs w:val="24"/>
        </w:rPr>
      </w:pPr>
      <w:r w:rsidRPr="001B3304">
        <w:rPr>
          <w:szCs w:val="24"/>
        </w:rPr>
        <w:t>​</w:t>
      </w:r>
    </w:p>
    <w:p w14:paraId="4444F9BF" w14:textId="77777777" w:rsidR="004A7C71" w:rsidRPr="001B3304" w:rsidRDefault="004A7C71" w:rsidP="004A7C71">
      <w:pPr>
        <w:pStyle w:val="NoSpacing"/>
        <w:rPr>
          <w:szCs w:val="24"/>
        </w:rPr>
      </w:pPr>
      <w:r w:rsidRPr="001B3304">
        <w:rPr>
          <w:szCs w:val="24"/>
        </w:rPr>
        <w:t xml:space="preserve">Absent evidence of where in the house items are found, it is not reasonable to infer from the appellant’s residence in the house that he is in possession of those items: </w:t>
      </w:r>
      <w:r w:rsidRPr="001B3304">
        <w:rPr>
          <w:i/>
          <w:iCs/>
          <w:szCs w:val="24"/>
        </w:rPr>
        <w:t>R v </w:t>
      </w:r>
      <w:proofErr w:type="spellStart"/>
      <w:r w:rsidRPr="001B3304">
        <w:rPr>
          <w:i/>
          <w:iCs/>
          <w:szCs w:val="24"/>
        </w:rPr>
        <w:t>Maslowski</w:t>
      </w:r>
      <w:proofErr w:type="spellEnd"/>
      <w:r w:rsidRPr="001B3304">
        <w:rPr>
          <w:szCs w:val="24"/>
        </w:rPr>
        <w:t xml:space="preserve">, </w:t>
      </w:r>
      <w:r w:rsidRPr="001B3304">
        <w:rPr>
          <w:szCs w:val="24"/>
          <w:u w:val="single"/>
        </w:rPr>
        <w:t>2015 ONCA 261</w:t>
      </w:r>
      <w:r w:rsidRPr="001B3304">
        <w:rPr>
          <w:szCs w:val="24"/>
        </w:rPr>
        <w:t xml:space="preserve"> at para 5</w:t>
      </w:r>
    </w:p>
    <w:p w14:paraId="252DFA84" w14:textId="77777777" w:rsidR="004A7C71" w:rsidRPr="001B3304" w:rsidRDefault="004A7C71" w:rsidP="004A7C71">
      <w:pPr>
        <w:pStyle w:val="NoSpacing"/>
        <w:rPr>
          <w:szCs w:val="24"/>
        </w:rPr>
      </w:pPr>
      <w:r w:rsidRPr="001B3304">
        <w:rPr>
          <w:szCs w:val="24"/>
        </w:rPr>
        <w:t>​</w:t>
      </w:r>
    </w:p>
    <w:p w14:paraId="6FF06388" w14:textId="7C9EDD03" w:rsidR="004A7C71" w:rsidRPr="001B3304" w:rsidRDefault="004A7C71" w:rsidP="004A7C71">
      <w:pPr>
        <w:pStyle w:val="NoSpacing"/>
        <w:rPr>
          <w:szCs w:val="24"/>
        </w:rPr>
      </w:pPr>
      <w:r w:rsidRPr="001B3304">
        <w:rPr>
          <w:szCs w:val="24"/>
        </w:rPr>
        <w:t>The fact that an accused is present in a room where drugs/money was found not in plain view is not enough, in itself, to connect him/her to these items: </w:t>
      </w:r>
      <w:r w:rsidRPr="001B3304">
        <w:rPr>
          <w:i/>
          <w:iCs/>
          <w:szCs w:val="24"/>
        </w:rPr>
        <w:t>R v Mullings, </w:t>
      </w:r>
      <w:r w:rsidRPr="001B3304">
        <w:rPr>
          <w:szCs w:val="24"/>
          <w:u w:val="single"/>
        </w:rPr>
        <w:t>2016 ONCA 171</w:t>
      </w:r>
      <w:r w:rsidRPr="001B3304">
        <w:rPr>
          <w:szCs w:val="24"/>
        </w:rPr>
        <w:t xml:space="preserve"> at paras 19-20</w:t>
      </w:r>
    </w:p>
    <w:p w14:paraId="7591A7B0" w14:textId="6FDAF58F" w:rsidR="00C006F6" w:rsidRPr="001B3304" w:rsidRDefault="00C006F6" w:rsidP="004A7C71">
      <w:pPr>
        <w:pStyle w:val="NoSpacing"/>
        <w:rPr>
          <w:szCs w:val="24"/>
        </w:rPr>
      </w:pPr>
    </w:p>
    <w:p w14:paraId="3E0B5B12" w14:textId="36C7080F" w:rsidR="00C006F6" w:rsidRPr="001B3304" w:rsidRDefault="00C006F6" w:rsidP="004A7C71">
      <w:pPr>
        <w:pStyle w:val="NoSpacing"/>
        <w:rPr>
          <w:szCs w:val="24"/>
        </w:rPr>
      </w:pPr>
      <w:r w:rsidRPr="001B3304">
        <w:rPr>
          <w:szCs w:val="24"/>
        </w:rPr>
        <w:t xml:space="preserve">The Crown is not required to prove that the accused knew that the item they possessed was a controlled substance. This would be tantamount to requiring the Crown to prove that the accused knew the law: </w:t>
      </w:r>
      <w:r w:rsidRPr="001B3304">
        <w:rPr>
          <w:i/>
          <w:iCs/>
          <w:szCs w:val="24"/>
        </w:rPr>
        <w:t xml:space="preserve">R v Lin, </w:t>
      </w:r>
      <w:hyperlink r:id="rId235" w:history="1">
        <w:r w:rsidRPr="001B3304">
          <w:rPr>
            <w:rStyle w:val="Hyperlink"/>
            <w:szCs w:val="24"/>
          </w:rPr>
          <w:t>2022 ONCA 289</w:t>
        </w:r>
      </w:hyperlink>
      <w:r w:rsidRPr="001B3304">
        <w:rPr>
          <w:szCs w:val="24"/>
        </w:rPr>
        <w:t>, at para 22</w:t>
      </w:r>
    </w:p>
    <w:p w14:paraId="66453323" w14:textId="77777777" w:rsidR="00C006F6" w:rsidRPr="001B3304" w:rsidRDefault="00C006F6" w:rsidP="004A7C71">
      <w:pPr>
        <w:pStyle w:val="NoSpacing"/>
        <w:rPr>
          <w:szCs w:val="24"/>
        </w:rPr>
      </w:pPr>
    </w:p>
    <w:p w14:paraId="698B1897" w14:textId="77777777" w:rsidR="004A7C71" w:rsidRPr="001B3304" w:rsidRDefault="004A7C71" w:rsidP="003E1822">
      <w:pPr>
        <w:spacing w:before="100" w:beforeAutospacing="1" w:after="100" w:afterAutospacing="1" w:line="276" w:lineRule="auto"/>
        <w:rPr>
          <w:rFonts w:ascii="Arial" w:hAnsi="Arial" w:cs="Arial"/>
        </w:rPr>
      </w:pPr>
    </w:p>
    <w:p w14:paraId="5658144D" w14:textId="2A09F1A9" w:rsidR="00901738" w:rsidRPr="001B3304" w:rsidRDefault="00C56330" w:rsidP="004358F8">
      <w:pPr>
        <w:pStyle w:val="Heading3"/>
        <w:numPr>
          <w:ilvl w:val="0"/>
          <w:numId w:val="30"/>
        </w:numPr>
      </w:pPr>
      <w:bookmarkStart w:id="141" w:name="_Toc134294171"/>
      <w:r w:rsidRPr="001B3304">
        <w:lastRenderedPageBreak/>
        <w:t xml:space="preserve">Exemption for </w:t>
      </w:r>
      <w:r w:rsidR="00457CBD" w:rsidRPr="001B3304">
        <w:t>M</w:t>
      </w:r>
      <w:r w:rsidRPr="001B3304">
        <w:t xml:space="preserve">edical or </w:t>
      </w:r>
      <w:r w:rsidR="00457CBD" w:rsidRPr="001B3304">
        <w:t>S</w:t>
      </w:r>
      <w:r w:rsidRPr="001B3304">
        <w:t xml:space="preserve">cientific </w:t>
      </w:r>
      <w:r w:rsidR="00457CBD" w:rsidRPr="001B3304">
        <w:t>P</w:t>
      </w:r>
      <w:r w:rsidRPr="001B3304">
        <w:t>urposes: s. 55 and 56 of the CDSA</w:t>
      </w:r>
      <w:bookmarkEnd w:id="141"/>
    </w:p>
    <w:p w14:paraId="22FAE5B7" w14:textId="77777777" w:rsidR="00901738" w:rsidRPr="001B3304" w:rsidRDefault="00901738" w:rsidP="003E1822">
      <w:pPr>
        <w:pStyle w:val="NoSpacing"/>
        <w:rPr>
          <w:szCs w:val="24"/>
        </w:rPr>
      </w:pPr>
    </w:p>
    <w:p w14:paraId="20A14113" w14:textId="77777777" w:rsidR="00C56330" w:rsidRPr="001B3304" w:rsidRDefault="00C56330" w:rsidP="003E1822">
      <w:pPr>
        <w:pStyle w:val="NoSpacing"/>
        <w:rPr>
          <w:szCs w:val="24"/>
        </w:rPr>
      </w:pPr>
      <w:r w:rsidRPr="001B3304">
        <w:rPr>
          <w:szCs w:val="24"/>
        </w:rPr>
        <w:t>The federal Minister of Health can issue exemptions for medical and scientific purposes under s. 56 of the </w:t>
      </w:r>
      <w:r w:rsidRPr="001B3304">
        <w:rPr>
          <w:i/>
          <w:iCs/>
          <w:szCs w:val="24"/>
        </w:rPr>
        <w:t>CDSA</w:t>
      </w:r>
      <w:r w:rsidRPr="001B3304">
        <w:rPr>
          <w:szCs w:val="24"/>
        </w:rPr>
        <w:t>. Section 55 of the </w:t>
      </w:r>
      <w:r w:rsidRPr="001B3304">
        <w:rPr>
          <w:i/>
          <w:iCs/>
          <w:szCs w:val="24"/>
        </w:rPr>
        <w:t>CDSA </w:t>
      </w:r>
      <w:r w:rsidRPr="001B3304">
        <w:rPr>
          <w:szCs w:val="24"/>
        </w:rPr>
        <w:t>allows for the Governor in Council to make regulations for the medical, scientific and industrial use of illegal substances. In this manner, Parliament has attempted to balance the two competing interests of public safety and public health.</w:t>
      </w:r>
    </w:p>
    <w:p w14:paraId="654A2AA6" w14:textId="77777777" w:rsidR="00C56330" w:rsidRPr="001B3304" w:rsidRDefault="00C56330" w:rsidP="003E1822">
      <w:pPr>
        <w:pStyle w:val="NoSpacing"/>
        <w:rPr>
          <w:szCs w:val="24"/>
        </w:rPr>
      </w:pPr>
    </w:p>
    <w:p w14:paraId="69531DB6" w14:textId="77777777" w:rsidR="00C56330" w:rsidRPr="001B3304" w:rsidRDefault="00C56330" w:rsidP="003E1822">
      <w:pPr>
        <w:pStyle w:val="NoSpacing"/>
        <w:rPr>
          <w:szCs w:val="24"/>
        </w:rPr>
      </w:pPr>
      <w:r w:rsidRPr="001B3304">
        <w:rPr>
          <w:szCs w:val="24"/>
        </w:rPr>
        <w:t>This scheme legitimizes the drug-related activities of many professionals, including doctors, by providing a controlled framework through which narcotics may be manufactured, stored, sold, distributed, prescribed and otherwise dealt with.</w:t>
      </w:r>
    </w:p>
    <w:p w14:paraId="34A7AF2D" w14:textId="77777777" w:rsidR="00C56330" w:rsidRPr="001B3304" w:rsidRDefault="00C56330" w:rsidP="003E1822">
      <w:pPr>
        <w:pStyle w:val="NoSpacing"/>
        <w:rPr>
          <w:szCs w:val="24"/>
        </w:rPr>
      </w:pPr>
    </w:p>
    <w:p w14:paraId="1FF825F2" w14:textId="77777777" w:rsidR="00C56330" w:rsidRPr="001B3304" w:rsidRDefault="00C56330" w:rsidP="003E1822">
      <w:pPr>
        <w:pStyle w:val="NoSpacing"/>
        <w:rPr>
          <w:szCs w:val="24"/>
        </w:rPr>
      </w:pPr>
      <w:r w:rsidRPr="001B3304">
        <w:rPr>
          <w:szCs w:val="24"/>
        </w:rPr>
        <w:t xml:space="preserve">If a co-accused, charged with joint possession, believed that the other accused possessed drugs by virtue of a valid prescription and for personal use only, s/he could not be found guilty of possession under ss. 4 or 5(2) of the </w:t>
      </w:r>
      <w:r w:rsidRPr="001B3304">
        <w:rPr>
          <w:i/>
          <w:iCs/>
          <w:szCs w:val="24"/>
        </w:rPr>
        <w:t>CDSA</w:t>
      </w:r>
      <w:r w:rsidRPr="001B3304">
        <w:rPr>
          <w:szCs w:val="24"/>
        </w:rPr>
        <w:t xml:space="preserve">, despite satisfying the knowledge, consent, and control requirements of s.4(3)(b) of the Criminal Code: </w:t>
      </w:r>
      <w:r w:rsidRPr="001B3304">
        <w:rPr>
          <w:i/>
          <w:iCs/>
          <w:szCs w:val="24"/>
        </w:rPr>
        <w:t>R v Pilgrim, </w:t>
      </w:r>
      <w:r w:rsidRPr="001B3304">
        <w:rPr>
          <w:szCs w:val="24"/>
          <w:u w:val="single"/>
        </w:rPr>
        <w:t>2017 ONCA 309</w:t>
      </w:r>
      <w:r w:rsidRPr="001B3304">
        <w:rPr>
          <w:szCs w:val="24"/>
        </w:rPr>
        <w:t xml:space="preserve"> at paras 72-85  </w:t>
      </w:r>
    </w:p>
    <w:p w14:paraId="0DD46B2A" w14:textId="77777777" w:rsidR="00C56330" w:rsidRPr="001B3304" w:rsidRDefault="00C56330" w:rsidP="003E1822">
      <w:pPr>
        <w:pStyle w:val="NoSpacing"/>
        <w:rPr>
          <w:szCs w:val="24"/>
        </w:rPr>
      </w:pPr>
      <w:r w:rsidRPr="001B3304">
        <w:rPr>
          <w:szCs w:val="24"/>
        </w:rPr>
        <w:t>​</w:t>
      </w:r>
    </w:p>
    <w:p w14:paraId="291FF137" w14:textId="77777777" w:rsidR="00C56330" w:rsidRPr="001B3304" w:rsidRDefault="00C56330" w:rsidP="003E1822">
      <w:pPr>
        <w:spacing w:before="100" w:beforeAutospacing="1" w:after="100" w:afterAutospacing="1" w:line="276" w:lineRule="auto"/>
        <w:rPr>
          <w:rFonts w:ascii="Arial" w:hAnsi="Arial" w:cs="Arial"/>
        </w:rPr>
      </w:pPr>
      <w:r w:rsidRPr="001B3304">
        <w:rPr>
          <w:rFonts w:ascii="Arial" w:hAnsi="Arial" w:cs="Arial"/>
        </w:rPr>
        <w:t>​</w:t>
      </w:r>
    </w:p>
    <w:p w14:paraId="176FB34A" w14:textId="2F4EF26F" w:rsidR="00C006F6" w:rsidRPr="001B3304" w:rsidRDefault="00C006F6" w:rsidP="00C006F6">
      <w:pPr>
        <w:pStyle w:val="Heading3"/>
      </w:pPr>
      <w:bookmarkStart w:id="142" w:name="_Toc134294172"/>
      <w:r w:rsidRPr="001B3304">
        <w:t>Exemption for licensing</w:t>
      </w:r>
      <w:bookmarkEnd w:id="142"/>
      <w:r w:rsidRPr="001B3304">
        <w:t xml:space="preserve"> </w:t>
      </w:r>
    </w:p>
    <w:p w14:paraId="47C9439F" w14:textId="01D5A81C" w:rsidR="00C006F6" w:rsidRPr="001B3304" w:rsidRDefault="00C006F6" w:rsidP="00C006F6">
      <w:pPr>
        <w:spacing w:before="100" w:beforeAutospacing="1" w:after="100" w:afterAutospacing="1"/>
        <w:jc w:val="both"/>
        <w:rPr>
          <w:rFonts w:ascii="Arial" w:hAnsi="Arial" w:cs="Arial"/>
          <w:color w:val="000000"/>
        </w:rPr>
      </w:pPr>
      <w:r w:rsidRPr="001B3304">
        <w:rPr>
          <w:rFonts w:ascii="Arial" w:hAnsi="Arial" w:cs="Arial"/>
          <w:color w:val="000000"/>
        </w:rPr>
        <w:t xml:space="preserve">The Crown is not required to prove that the accused knew they did not have a license or authorization to possession the drug in question. Further, ignorance of the law, or a lack of understanding of the legal framework in which the accused operates, is not a defence to the </w:t>
      </w:r>
      <w:proofErr w:type="spellStart"/>
      <w:r w:rsidRPr="001B3304">
        <w:rPr>
          <w:rFonts w:ascii="Arial" w:hAnsi="Arial" w:cs="Arial"/>
          <w:i/>
          <w:iCs/>
          <w:color w:val="000000"/>
        </w:rPr>
        <w:t>mens</w:t>
      </w:r>
      <w:proofErr w:type="spellEnd"/>
      <w:r w:rsidRPr="001B3304">
        <w:rPr>
          <w:rFonts w:ascii="Arial" w:hAnsi="Arial" w:cs="Arial"/>
          <w:i/>
          <w:iCs/>
          <w:color w:val="000000"/>
        </w:rPr>
        <w:t xml:space="preserve"> rea</w:t>
      </w:r>
      <w:r w:rsidRPr="001B3304">
        <w:rPr>
          <w:rFonts w:ascii="Arial" w:hAnsi="Arial" w:cs="Arial"/>
          <w:color w:val="000000"/>
        </w:rPr>
        <w:t xml:space="preserve"> of possession of controlled substances: </w:t>
      </w:r>
      <w:r w:rsidRPr="001B3304">
        <w:rPr>
          <w:rFonts w:ascii="Arial" w:hAnsi="Arial" w:cs="Arial"/>
          <w:i/>
          <w:iCs/>
          <w:color w:val="000000"/>
        </w:rPr>
        <w:t xml:space="preserve">R v Lin, </w:t>
      </w:r>
      <w:hyperlink r:id="rId236" w:history="1">
        <w:r w:rsidRPr="001B3304">
          <w:rPr>
            <w:rStyle w:val="Hyperlink"/>
            <w:rFonts w:ascii="Arial" w:hAnsi="Arial" w:cs="Arial"/>
          </w:rPr>
          <w:t>2022 ONCA 289</w:t>
        </w:r>
      </w:hyperlink>
      <w:r w:rsidRPr="001B3304">
        <w:rPr>
          <w:rFonts w:ascii="Arial" w:hAnsi="Arial" w:cs="Arial"/>
          <w:color w:val="000000"/>
        </w:rPr>
        <w:t>, at para 22</w:t>
      </w:r>
    </w:p>
    <w:p w14:paraId="6755F3EB" w14:textId="77777777" w:rsidR="00C006F6" w:rsidRPr="001B3304" w:rsidRDefault="00C006F6" w:rsidP="00C006F6">
      <w:pPr>
        <w:pStyle w:val="Heading3"/>
        <w:numPr>
          <w:ilvl w:val="0"/>
          <w:numId w:val="0"/>
        </w:numPr>
        <w:ind w:left="720" w:hanging="360"/>
      </w:pPr>
    </w:p>
    <w:p w14:paraId="3499F5E3" w14:textId="14392FFA" w:rsidR="003024C7" w:rsidRPr="001B3304" w:rsidRDefault="003024C7" w:rsidP="004358F8">
      <w:pPr>
        <w:pStyle w:val="Heading3"/>
      </w:pPr>
      <w:bookmarkStart w:id="143" w:name="_Toc134294173"/>
      <w:r w:rsidRPr="001B3304">
        <w:t>Personal Possession</w:t>
      </w:r>
      <w:bookmarkEnd w:id="143"/>
    </w:p>
    <w:p w14:paraId="14FA4081" w14:textId="00A2C2B2" w:rsidR="003024C7" w:rsidRPr="001B3304" w:rsidRDefault="003024C7" w:rsidP="003E1822">
      <w:pPr>
        <w:pStyle w:val="NoSpacing"/>
        <w:rPr>
          <w:szCs w:val="24"/>
          <w:shd w:val="clear" w:color="auto" w:fill="FFFFFF"/>
        </w:rPr>
      </w:pPr>
      <w:r w:rsidRPr="001B3304">
        <w:rPr>
          <w:szCs w:val="24"/>
          <w:shd w:val="clear" w:color="auto" w:fill="FFFFFF"/>
        </w:rPr>
        <w:t xml:space="preserve">While manual handling and knowledge is generally conclusive of personal possession, the absence of manual handling does not necessarily preclude possession, because “control” and knowledge combined with a sufficient degree of physical proximity may nonetheless establish possession. Whether physical proximity combined with control amounts to personal possession is a matter of degree: </w:t>
      </w:r>
      <w:r w:rsidRPr="001B3304">
        <w:rPr>
          <w:i/>
          <w:iCs/>
          <w:szCs w:val="24"/>
          <w:shd w:val="clear" w:color="auto" w:fill="FFFFFF"/>
        </w:rPr>
        <w:t xml:space="preserve">R v Bird, </w:t>
      </w:r>
      <w:r w:rsidRPr="001B3304">
        <w:rPr>
          <w:szCs w:val="24"/>
          <w:shd w:val="clear" w:color="auto" w:fill="FFFFFF"/>
        </w:rPr>
        <w:t>2020 ABCA 236, at para 13</w:t>
      </w:r>
    </w:p>
    <w:p w14:paraId="7F13E6CD" w14:textId="398A32E5" w:rsidR="003024C7" w:rsidRPr="001B3304" w:rsidRDefault="003024C7" w:rsidP="003E1822">
      <w:pPr>
        <w:pStyle w:val="NoSpacing"/>
        <w:rPr>
          <w:szCs w:val="24"/>
          <w:shd w:val="clear" w:color="auto" w:fill="FFFFFF"/>
        </w:rPr>
      </w:pPr>
    </w:p>
    <w:p w14:paraId="63569A4F" w14:textId="53EE3C43" w:rsidR="003024C7" w:rsidRPr="001B3304" w:rsidRDefault="003024C7" w:rsidP="003E1822">
      <w:pPr>
        <w:pStyle w:val="NoSpacing"/>
        <w:rPr>
          <w:szCs w:val="24"/>
          <w:shd w:val="clear" w:color="auto" w:fill="FFFFFF"/>
        </w:rPr>
      </w:pPr>
      <w:r w:rsidRPr="001B3304">
        <w:rPr>
          <w:szCs w:val="24"/>
          <w:shd w:val="clear" w:color="auto" w:fill="FFFFFF"/>
        </w:rPr>
        <w:lastRenderedPageBreak/>
        <w:t xml:space="preserve">An individual may avail themself of a </w:t>
      </w:r>
      <w:proofErr w:type="spellStart"/>
      <w:r w:rsidRPr="001B3304">
        <w:rPr>
          <w:szCs w:val="24"/>
          <w:shd w:val="clear" w:color="auto" w:fill="FFFFFF"/>
        </w:rPr>
        <w:t>defence</w:t>
      </w:r>
      <w:proofErr w:type="spellEnd"/>
      <w:r w:rsidRPr="001B3304">
        <w:rPr>
          <w:szCs w:val="24"/>
          <w:shd w:val="clear" w:color="auto" w:fill="FFFFFF"/>
        </w:rPr>
        <w:t xml:space="preserve"> of innocent possession where the accused established an intention to lawfully dispose of the item at the first reasonable opportunity:</w:t>
      </w:r>
      <w:r w:rsidRPr="001B3304">
        <w:rPr>
          <w:i/>
          <w:iCs/>
          <w:szCs w:val="24"/>
          <w:shd w:val="clear" w:color="auto" w:fill="FFFFFF"/>
        </w:rPr>
        <w:t xml:space="preserve"> R v Bird, </w:t>
      </w:r>
      <w:r w:rsidRPr="001B3304">
        <w:rPr>
          <w:szCs w:val="24"/>
          <w:shd w:val="clear" w:color="auto" w:fill="FFFFFF"/>
        </w:rPr>
        <w:t>2020 ABCA 236, at para 21</w:t>
      </w:r>
    </w:p>
    <w:p w14:paraId="2CBBED5A" w14:textId="77777777" w:rsidR="003024C7" w:rsidRPr="001B3304" w:rsidRDefault="003024C7" w:rsidP="003E1822">
      <w:pPr>
        <w:pStyle w:val="NoSpacing"/>
        <w:rPr>
          <w:szCs w:val="24"/>
        </w:rPr>
      </w:pPr>
    </w:p>
    <w:p w14:paraId="4154FD0E" w14:textId="56B91227" w:rsidR="00C56330" w:rsidRPr="001B3304" w:rsidRDefault="00C56330" w:rsidP="004358F8">
      <w:pPr>
        <w:pStyle w:val="Heading3"/>
      </w:pPr>
      <w:bookmarkStart w:id="144" w:name="_Toc134294174"/>
      <w:r w:rsidRPr="001B3304">
        <w:t>Constructive Possession</w:t>
      </w:r>
      <w:bookmarkEnd w:id="144"/>
    </w:p>
    <w:p w14:paraId="7669B51E" w14:textId="0C0FA425" w:rsidR="00C56330" w:rsidRPr="001B3304" w:rsidRDefault="00C56330" w:rsidP="003E1822">
      <w:pPr>
        <w:pStyle w:val="NoSpacing"/>
        <w:rPr>
          <w:szCs w:val="24"/>
        </w:rPr>
      </w:pPr>
      <w:r w:rsidRPr="001B3304">
        <w:rPr>
          <w:szCs w:val="24"/>
        </w:rPr>
        <w:t>Constructive possession is established where an accused has the subject-matter in the actual possession or custody of another person, or in any place, whether belonging to or occupied by the accused or not, for the benefit of the accused or someone else:  </w:t>
      </w:r>
      <w:r w:rsidRPr="001B3304">
        <w:rPr>
          <w:i/>
          <w:iCs/>
          <w:szCs w:val="24"/>
        </w:rPr>
        <w:t>R v </w:t>
      </w:r>
      <w:proofErr w:type="spellStart"/>
      <w:r w:rsidRPr="001B3304">
        <w:rPr>
          <w:i/>
          <w:iCs/>
          <w:szCs w:val="24"/>
        </w:rPr>
        <w:t>Pannu</w:t>
      </w:r>
      <w:proofErr w:type="spellEnd"/>
      <w:r w:rsidRPr="001B3304">
        <w:rPr>
          <w:szCs w:val="24"/>
        </w:rPr>
        <w:t xml:space="preserve">, </w:t>
      </w:r>
      <w:r w:rsidRPr="001B3304">
        <w:rPr>
          <w:szCs w:val="24"/>
          <w:u w:val="single"/>
        </w:rPr>
        <w:t>2015 ONCA 677</w:t>
      </w:r>
      <w:r w:rsidRPr="001B3304">
        <w:rPr>
          <w:szCs w:val="24"/>
        </w:rPr>
        <w:t xml:space="preserve"> at para 156</w:t>
      </w:r>
    </w:p>
    <w:p w14:paraId="4F18CE92" w14:textId="77777777" w:rsidR="00901738" w:rsidRPr="001B3304" w:rsidRDefault="00901738" w:rsidP="003E1822">
      <w:pPr>
        <w:pStyle w:val="NoSpacing"/>
        <w:rPr>
          <w:szCs w:val="24"/>
        </w:rPr>
      </w:pPr>
    </w:p>
    <w:p w14:paraId="50563FCD" w14:textId="77777777" w:rsidR="00C56330" w:rsidRPr="001B3304" w:rsidRDefault="00C56330" w:rsidP="003E1822">
      <w:pPr>
        <w:pStyle w:val="NoSpacing"/>
        <w:rPr>
          <w:szCs w:val="24"/>
        </w:rPr>
      </w:pPr>
      <w:r w:rsidRPr="001B3304">
        <w:rPr>
          <w:szCs w:val="24"/>
        </w:rPr>
        <w:t>To establish constructive possession the Crown must prove beyond a reasonable doubt that an accused:</w:t>
      </w:r>
    </w:p>
    <w:p w14:paraId="17DA77B6" w14:textId="77777777" w:rsidR="00C56330" w:rsidRPr="001B3304" w:rsidRDefault="00C56330" w:rsidP="003E1822">
      <w:pPr>
        <w:pStyle w:val="NoSpacing"/>
        <w:numPr>
          <w:ilvl w:val="0"/>
          <w:numId w:val="3"/>
        </w:numPr>
        <w:rPr>
          <w:szCs w:val="24"/>
        </w:rPr>
      </w:pPr>
      <w:r w:rsidRPr="001B3304">
        <w:rPr>
          <w:szCs w:val="24"/>
        </w:rPr>
        <w:t>knows the character of the object;</w:t>
      </w:r>
    </w:p>
    <w:p w14:paraId="332F4B99" w14:textId="77777777" w:rsidR="00C56330" w:rsidRPr="001B3304" w:rsidRDefault="00C56330" w:rsidP="003E1822">
      <w:pPr>
        <w:pStyle w:val="NoSpacing"/>
        <w:numPr>
          <w:ilvl w:val="0"/>
          <w:numId w:val="3"/>
        </w:numPr>
        <w:rPr>
          <w:szCs w:val="24"/>
        </w:rPr>
      </w:pPr>
      <w:r w:rsidRPr="001B3304">
        <w:rPr>
          <w:szCs w:val="24"/>
        </w:rPr>
        <w:t>knowingly puts or keeps the object in a place; and</w:t>
      </w:r>
    </w:p>
    <w:p w14:paraId="3873F530" w14:textId="77777777" w:rsidR="00C56330" w:rsidRPr="001B3304" w:rsidRDefault="00C56330" w:rsidP="003E1822">
      <w:pPr>
        <w:pStyle w:val="NoSpacing"/>
        <w:numPr>
          <w:ilvl w:val="0"/>
          <w:numId w:val="3"/>
        </w:numPr>
        <w:rPr>
          <w:szCs w:val="24"/>
        </w:rPr>
      </w:pPr>
      <w:r w:rsidRPr="001B3304">
        <w:rPr>
          <w:szCs w:val="24"/>
        </w:rPr>
        <w:t>intends to have the object in the place for his or her use or benefit or the use or benefit of some other person. </w:t>
      </w:r>
    </w:p>
    <w:p w14:paraId="53920CA6" w14:textId="77777777" w:rsidR="00C56330" w:rsidRPr="001B3304" w:rsidRDefault="00C56330" w:rsidP="003E1822">
      <w:pPr>
        <w:pStyle w:val="NoSpacing"/>
        <w:rPr>
          <w:szCs w:val="24"/>
        </w:rPr>
      </w:pPr>
    </w:p>
    <w:p w14:paraId="24FC30D2" w14:textId="5AF171F7" w:rsidR="00C56330" w:rsidRPr="001B3304" w:rsidRDefault="00C56330" w:rsidP="003E1822">
      <w:pPr>
        <w:pStyle w:val="NoSpacing"/>
        <w:rPr>
          <w:szCs w:val="24"/>
        </w:rPr>
      </w:pPr>
      <w:r w:rsidRPr="001B3304">
        <w:rPr>
          <w:szCs w:val="24"/>
        </w:rPr>
        <w:t>The Crown may prove the essential elements of constructive possession by direct evidence, by circumstantial evidence or by a combination of direct and circumstantial evidence: </w:t>
      </w:r>
      <w:proofErr w:type="spellStart"/>
      <w:r w:rsidRPr="001B3304">
        <w:rPr>
          <w:i/>
          <w:iCs/>
          <w:szCs w:val="24"/>
        </w:rPr>
        <w:t>Panu</w:t>
      </w:r>
      <w:proofErr w:type="spellEnd"/>
      <w:r w:rsidRPr="001B3304">
        <w:rPr>
          <w:i/>
          <w:iCs/>
          <w:szCs w:val="24"/>
        </w:rPr>
        <w:t> </w:t>
      </w:r>
      <w:r w:rsidRPr="001B3304">
        <w:rPr>
          <w:szCs w:val="24"/>
        </w:rPr>
        <w:t>at paras 156-157</w:t>
      </w:r>
      <w:r w:rsidR="00D45D14" w:rsidRPr="001B3304">
        <w:rPr>
          <w:szCs w:val="24"/>
        </w:rPr>
        <w:t xml:space="preserve">; </w:t>
      </w:r>
      <w:r w:rsidR="00D45D14" w:rsidRPr="001B3304">
        <w:rPr>
          <w:i/>
          <w:iCs/>
          <w:szCs w:val="24"/>
        </w:rPr>
        <w:t xml:space="preserve">R v Lights, </w:t>
      </w:r>
      <w:hyperlink r:id="rId237" w:history="1">
        <w:r w:rsidR="00D45D14" w:rsidRPr="001B3304">
          <w:rPr>
            <w:rStyle w:val="Hyperlink"/>
            <w:szCs w:val="24"/>
          </w:rPr>
          <w:t>2020 ONCA 128</w:t>
        </w:r>
      </w:hyperlink>
      <w:r w:rsidR="00D45D14" w:rsidRPr="001B3304">
        <w:rPr>
          <w:szCs w:val="24"/>
        </w:rPr>
        <w:t>, at para 47</w:t>
      </w:r>
      <w:r w:rsidRPr="001B3304">
        <w:rPr>
          <w:szCs w:val="24"/>
        </w:rPr>
        <w:t> </w:t>
      </w:r>
    </w:p>
    <w:p w14:paraId="79E9AD12" w14:textId="77777777" w:rsidR="00C56330" w:rsidRPr="001B3304" w:rsidRDefault="00C56330" w:rsidP="003E1822">
      <w:pPr>
        <w:pStyle w:val="NoSpacing"/>
        <w:rPr>
          <w:szCs w:val="24"/>
        </w:rPr>
      </w:pPr>
      <w:r w:rsidRPr="001B3304">
        <w:rPr>
          <w:szCs w:val="24"/>
        </w:rPr>
        <w:t>​</w:t>
      </w:r>
    </w:p>
    <w:p w14:paraId="14A18201" w14:textId="77777777" w:rsidR="00C56330" w:rsidRPr="001B3304" w:rsidRDefault="00C56330" w:rsidP="003E1822">
      <w:pPr>
        <w:pStyle w:val="NoSpacing"/>
        <w:rPr>
          <w:szCs w:val="24"/>
        </w:rPr>
      </w:pPr>
      <w:r w:rsidRPr="001B3304">
        <w:rPr>
          <w:szCs w:val="24"/>
        </w:rPr>
        <w:t>A finding of constructive possession is not inconsistent with a finding that an accused has no standing to advance a section 8 argument in relation to a search of the premises where drugs were found: </w:t>
      </w:r>
      <w:r w:rsidRPr="001B3304">
        <w:rPr>
          <w:i/>
          <w:iCs/>
          <w:szCs w:val="24"/>
        </w:rPr>
        <w:t xml:space="preserve">R v </w:t>
      </w:r>
      <w:proofErr w:type="spellStart"/>
      <w:r w:rsidRPr="001B3304">
        <w:rPr>
          <w:i/>
          <w:iCs/>
          <w:szCs w:val="24"/>
        </w:rPr>
        <w:t>Qiang</w:t>
      </w:r>
      <w:proofErr w:type="spellEnd"/>
      <w:r w:rsidRPr="001B3304">
        <w:rPr>
          <w:i/>
          <w:iCs/>
          <w:szCs w:val="24"/>
        </w:rPr>
        <w:t xml:space="preserve"> Wu, </w:t>
      </w:r>
      <w:r w:rsidRPr="001B3304">
        <w:rPr>
          <w:szCs w:val="24"/>
          <w:u w:val="single"/>
        </w:rPr>
        <w:t>2017 ONCA 620</w:t>
      </w:r>
      <w:r w:rsidRPr="001B3304">
        <w:rPr>
          <w:szCs w:val="24"/>
        </w:rPr>
        <w:t xml:space="preserve"> at paras 23-25</w:t>
      </w:r>
    </w:p>
    <w:p w14:paraId="2648912D" w14:textId="77777777" w:rsidR="00184AA0" w:rsidRPr="001B3304" w:rsidRDefault="00184AA0" w:rsidP="00184AA0">
      <w:pPr>
        <w:pStyle w:val="NoSpacing"/>
        <w:rPr>
          <w:szCs w:val="24"/>
        </w:rPr>
      </w:pPr>
    </w:p>
    <w:p w14:paraId="520BB8B4" w14:textId="3E8F5DF3" w:rsidR="00184AA0" w:rsidRPr="001B3304" w:rsidRDefault="00C56330" w:rsidP="00184AA0">
      <w:pPr>
        <w:pStyle w:val="NoSpacing"/>
        <w:rPr>
          <w:szCs w:val="24"/>
        </w:rPr>
      </w:pPr>
      <w:r w:rsidRPr="001B3304">
        <w:rPr>
          <w:szCs w:val="24"/>
        </w:rPr>
        <w:t>​</w:t>
      </w:r>
      <w:r w:rsidR="00184AA0" w:rsidRPr="001B3304">
        <w:rPr>
          <w:szCs w:val="24"/>
        </w:rPr>
        <w:t xml:space="preserve">Evidence of a person’s occupancy of a premises alone is not sufficient to prove constructive possession is well-established. In any particular case, the court must assess all of the evidence, direct and circumstantial, to assess whether it is sufficient to prove constructive possession beyond a reasonable doubt: </w:t>
      </w:r>
      <w:r w:rsidR="00184AA0" w:rsidRPr="001B3304">
        <w:rPr>
          <w:i/>
          <w:iCs/>
          <w:szCs w:val="24"/>
        </w:rPr>
        <w:t xml:space="preserve">R v </w:t>
      </w:r>
      <w:proofErr w:type="spellStart"/>
      <w:r w:rsidR="00184AA0" w:rsidRPr="001B3304">
        <w:rPr>
          <w:i/>
          <w:iCs/>
          <w:szCs w:val="24"/>
        </w:rPr>
        <w:t>Kaup</w:t>
      </w:r>
      <w:proofErr w:type="spellEnd"/>
      <w:r w:rsidR="00184AA0" w:rsidRPr="001B3304">
        <w:rPr>
          <w:i/>
          <w:iCs/>
          <w:szCs w:val="24"/>
        </w:rPr>
        <w:t xml:space="preserve">, </w:t>
      </w:r>
      <w:hyperlink r:id="rId238" w:history="1">
        <w:r w:rsidR="00184AA0" w:rsidRPr="001B3304">
          <w:rPr>
            <w:rStyle w:val="Hyperlink"/>
            <w:szCs w:val="24"/>
          </w:rPr>
          <w:t>2022 ONCA 383</w:t>
        </w:r>
      </w:hyperlink>
      <w:r w:rsidR="00184AA0" w:rsidRPr="001B3304">
        <w:rPr>
          <w:szCs w:val="24"/>
        </w:rPr>
        <w:t>, at para 32</w:t>
      </w:r>
    </w:p>
    <w:p w14:paraId="74F88FD5" w14:textId="77777777" w:rsidR="00184AA0" w:rsidRPr="001B3304" w:rsidRDefault="00184AA0" w:rsidP="003E1822">
      <w:pPr>
        <w:spacing w:before="100" w:beforeAutospacing="1" w:after="100" w:afterAutospacing="1" w:line="276" w:lineRule="auto"/>
        <w:jc w:val="both"/>
        <w:rPr>
          <w:rFonts w:ascii="Arial" w:hAnsi="Arial" w:cs="Arial"/>
        </w:rPr>
      </w:pPr>
    </w:p>
    <w:p w14:paraId="4E5B09A8" w14:textId="1FFC05E4" w:rsidR="00D45D14" w:rsidRPr="001B3304" w:rsidRDefault="00D45D14" w:rsidP="004358F8">
      <w:pPr>
        <w:pStyle w:val="Heading3"/>
      </w:pPr>
      <w:bookmarkStart w:id="145" w:name="_Toc134294175"/>
      <w:r w:rsidRPr="001B3304">
        <w:t>Wi</w:t>
      </w:r>
      <w:r w:rsidR="000A6C44" w:rsidRPr="001B3304">
        <w:t>l</w:t>
      </w:r>
      <w:r w:rsidRPr="001B3304">
        <w:t>lful Blindness</w:t>
      </w:r>
      <w:bookmarkEnd w:id="145"/>
    </w:p>
    <w:p w14:paraId="3C7F1800" w14:textId="77777777" w:rsidR="00D45D14" w:rsidRPr="001B3304" w:rsidRDefault="00D45D14" w:rsidP="003E1822">
      <w:pPr>
        <w:pStyle w:val="NoSpacing"/>
        <w:rPr>
          <w:szCs w:val="24"/>
        </w:rPr>
      </w:pPr>
    </w:p>
    <w:p w14:paraId="0D832CE3" w14:textId="5DE649E3" w:rsidR="00D45D14" w:rsidRPr="001B3304" w:rsidRDefault="00D45D14" w:rsidP="003E1822">
      <w:pPr>
        <w:pStyle w:val="NoSpacing"/>
        <w:rPr>
          <w:szCs w:val="24"/>
        </w:rPr>
      </w:pPr>
      <w:proofErr w:type="spellStart"/>
      <w:r w:rsidRPr="001B3304">
        <w:rPr>
          <w:szCs w:val="24"/>
        </w:rPr>
        <w:lastRenderedPageBreak/>
        <w:t>Wilful</w:t>
      </w:r>
      <w:proofErr w:type="spellEnd"/>
      <w:r w:rsidRPr="001B3304">
        <w:rPr>
          <w:szCs w:val="24"/>
        </w:rPr>
        <w:t xml:space="preserve"> blindness involves a degree of awareness of the likely existence of the prohibited circumstances together with a blameworthy conscious refusal of self-enlightenment. A person, aware of the need for some inquiry, who declines to make that inquiry because they do not wish to know the truth, is </w:t>
      </w:r>
      <w:proofErr w:type="spellStart"/>
      <w:r w:rsidRPr="001B3304">
        <w:rPr>
          <w:szCs w:val="24"/>
        </w:rPr>
        <w:t>wilfully</w:t>
      </w:r>
      <w:proofErr w:type="spellEnd"/>
      <w:r w:rsidRPr="001B3304">
        <w:rPr>
          <w:szCs w:val="24"/>
        </w:rPr>
        <w:t xml:space="preserve"> blind</w:t>
      </w:r>
      <w:r w:rsidR="00066656" w:rsidRPr="001B3304">
        <w:rPr>
          <w:szCs w:val="24"/>
        </w:rPr>
        <w:t xml:space="preserve">. The doctrine is narrow in scope lest it become indistinguishable from negligence in failing to acquire knowledge: </w:t>
      </w:r>
      <w:r w:rsidRPr="001B3304">
        <w:rPr>
          <w:i/>
          <w:iCs/>
          <w:szCs w:val="24"/>
        </w:rPr>
        <w:t>R v Lights</w:t>
      </w:r>
      <w:hyperlink r:id="rId239" w:history="1">
        <w:r w:rsidRPr="001B3304">
          <w:rPr>
            <w:rStyle w:val="Hyperlink"/>
            <w:i/>
            <w:iCs/>
            <w:szCs w:val="24"/>
          </w:rPr>
          <w:t xml:space="preserve">, </w:t>
        </w:r>
        <w:r w:rsidRPr="001B3304">
          <w:rPr>
            <w:rStyle w:val="Hyperlink"/>
            <w:szCs w:val="24"/>
          </w:rPr>
          <w:t>2020 ONCA 128</w:t>
        </w:r>
      </w:hyperlink>
      <w:r w:rsidRPr="001B3304">
        <w:rPr>
          <w:szCs w:val="24"/>
        </w:rPr>
        <w:t>, at para 52</w:t>
      </w:r>
    </w:p>
    <w:p w14:paraId="1560B970" w14:textId="16DD999E" w:rsidR="00C56330" w:rsidRPr="001B3304" w:rsidRDefault="00C56330" w:rsidP="004358F8">
      <w:pPr>
        <w:pStyle w:val="Heading3"/>
      </w:pPr>
      <w:bookmarkStart w:id="146" w:name="_Toc134294176"/>
      <w:r w:rsidRPr="001B3304">
        <w:t>Examples from the Caselaw</w:t>
      </w:r>
      <w:bookmarkEnd w:id="146"/>
    </w:p>
    <w:p w14:paraId="3C42CD93" w14:textId="66AD7489" w:rsidR="00C56330" w:rsidRPr="001B3304" w:rsidRDefault="00C56330" w:rsidP="003E1822">
      <w:pPr>
        <w:pStyle w:val="NoSpacing"/>
        <w:rPr>
          <w:szCs w:val="24"/>
        </w:rPr>
      </w:pPr>
      <w:r w:rsidRPr="001B3304">
        <w:rPr>
          <w:szCs w:val="24"/>
        </w:rPr>
        <w:t>​</w:t>
      </w:r>
    </w:p>
    <w:p w14:paraId="26289AB7" w14:textId="4098182F" w:rsidR="00C66C50" w:rsidRPr="001B3304" w:rsidRDefault="00066656" w:rsidP="003E1822">
      <w:pPr>
        <w:pStyle w:val="NoSpacing"/>
        <w:rPr>
          <w:szCs w:val="24"/>
        </w:rPr>
      </w:pPr>
      <w:r w:rsidRPr="001B3304">
        <w:rPr>
          <w:szCs w:val="24"/>
        </w:rPr>
        <w:t>In Lights, the Ontario Court of Appeal set aside convictions for possession of a loaded firearm on the basis that “knowledge of the nature of the object he handled as a firearm, without more, does not establish knowledge, actual or imputed, that the firearm was loaded.” The Court held that this conclusion was “the product of speculation, not inference.” Further, knowledge was not the only reasonable inference available on the totality of the evidence</w:t>
      </w:r>
      <w:r w:rsidR="00C66C50" w:rsidRPr="001B3304">
        <w:rPr>
          <w:szCs w:val="24"/>
        </w:rPr>
        <w:t xml:space="preserve">. The Court came to the same conclusion with respect to the Appellant’s conviction for possession of a prohibited device, holding that there was insufficient evidence to establish that </w:t>
      </w:r>
      <w:r w:rsidR="0025091D" w:rsidRPr="001B3304">
        <w:rPr>
          <w:szCs w:val="24"/>
        </w:rPr>
        <w:t xml:space="preserve">the gun that the Appellant was possessing was a prohibited device: </w:t>
      </w:r>
      <w:r w:rsidRPr="001B3304">
        <w:rPr>
          <w:i/>
          <w:iCs/>
          <w:szCs w:val="24"/>
        </w:rPr>
        <w:t xml:space="preserve">R v Lights, </w:t>
      </w:r>
      <w:hyperlink r:id="rId240" w:history="1">
        <w:r w:rsidRPr="001B3304">
          <w:rPr>
            <w:rStyle w:val="Hyperlink"/>
            <w:szCs w:val="24"/>
          </w:rPr>
          <w:t>2020 ONCA 128</w:t>
        </w:r>
      </w:hyperlink>
      <w:r w:rsidRPr="001B3304">
        <w:rPr>
          <w:szCs w:val="24"/>
        </w:rPr>
        <w:t>, at para</w:t>
      </w:r>
      <w:r w:rsidR="0025091D" w:rsidRPr="001B3304">
        <w:rPr>
          <w:szCs w:val="24"/>
        </w:rPr>
        <w:t>s</w:t>
      </w:r>
      <w:r w:rsidRPr="001B3304">
        <w:rPr>
          <w:szCs w:val="24"/>
        </w:rPr>
        <w:t xml:space="preserve"> 75</w:t>
      </w:r>
      <w:r w:rsidR="0025091D" w:rsidRPr="001B3304">
        <w:rPr>
          <w:szCs w:val="24"/>
        </w:rPr>
        <w:t>, 140-141</w:t>
      </w:r>
    </w:p>
    <w:p w14:paraId="2BC59372" w14:textId="77777777" w:rsidR="00DC3D63" w:rsidRPr="001B3304" w:rsidRDefault="00DC3D63" w:rsidP="003E1822">
      <w:pPr>
        <w:pStyle w:val="NoSpacing"/>
        <w:rPr>
          <w:szCs w:val="24"/>
        </w:rPr>
      </w:pPr>
    </w:p>
    <w:p w14:paraId="1182D26A" w14:textId="0180180D" w:rsidR="00DC3D63" w:rsidRPr="001B3304" w:rsidRDefault="00DC3D63" w:rsidP="003E1822">
      <w:pPr>
        <w:pStyle w:val="NoSpacing"/>
        <w:rPr>
          <w:szCs w:val="24"/>
        </w:rPr>
      </w:pPr>
      <w:r w:rsidRPr="001B3304">
        <w:rPr>
          <w:szCs w:val="24"/>
        </w:rPr>
        <w:t xml:space="preserve">In Walters, the Ontario Court of Appeal found that it was not unreasonable for the trial judge to conclude that Walters </w:t>
      </w:r>
      <w:r w:rsidRPr="001B3304">
        <w:rPr>
          <w:color w:val="000000"/>
          <w:szCs w:val="24"/>
        </w:rPr>
        <w:t xml:space="preserve">had knowledge and control of </w:t>
      </w:r>
      <w:r w:rsidRPr="001B3304">
        <w:rPr>
          <w:color w:val="000000"/>
          <w:szCs w:val="24"/>
        </w:rPr>
        <w:t xml:space="preserve">drugs, magazines, and a firearm </w:t>
      </w:r>
      <w:r w:rsidRPr="001B3304">
        <w:rPr>
          <w:color w:val="000000"/>
          <w:szCs w:val="24"/>
        </w:rPr>
        <w:t>seized from the hamper and the night tabl</w:t>
      </w:r>
      <w:r w:rsidRPr="001B3304">
        <w:rPr>
          <w:color w:val="000000"/>
          <w:szCs w:val="24"/>
        </w:rPr>
        <w:t xml:space="preserve">e of his girlfriend’s residence, where he spent approximately 70% of his time: </w:t>
      </w:r>
      <w:r w:rsidRPr="001B3304">
        <w:rPr>
          <w:i/>
          <w:iCs/>
          <w:color w:val="000000"/>
          <w:szCs w:val="24"/>
        </w:rPr>
        <w:t xml:space="preserve">R v Walters, </w:t>
      </w:r>
      <w:hyperlink r:id="rId241" w:history="1">
        <w:r w:rsidRPr="001B3304">
          <w:rPr>
            <w:rStyle w:val="Hyperlink"/>
            <w:szCs w:val="24"/>
          </w:rPr>
          <w:t>2023 ONCA 4</w:t>
        </w:r>
      </w:hyperlink>
      <w:r w:rsidRPr="001B3304">
        <w:rPr>
          <w:color w:val="000000"/>
          <w:szCs w:val="24"/>
        </w:rPr>
        <w:t>, at paras 27-29</w:t>
      </w:r>
    </w:p>
    <w:p w14:paraId="2C6D9C62" w14:textId="77777777" w:rsidR="00C66C50" w:rsidRPr="001B3304" w:rsidRDefault="00C66C50" w:rsidP="003E1822">
      <w:pPr>
        <w:pStyle w:val="NoSpacing"/>
        <w:rPr>
          <w:szCs w:val="24"/>
        </w:rPr>
      </w:pPr>
    </w:p>
    <w:p w14:paraId="7F7C33E8" w14:textId="6C0FDE12" w:rsidR="003F00F2" w:rsidRPr="001B3304" w:rsidRDefault="00DD6403" w:rsidP="003E1822">
      <w:pPr>
        <w:pStyle w:val="Heading2"/>
        <w:spacing w:line="276" w:lineRule="auto"/>
      </w:pPr>
      <w:bookmarkStart w:id="147" w:name="_Toc134294177"/>
      <w:r w:rsidRPr="001B3304">
        <w:t>Possession for the Purpose of T</w:t>
      </w:r>
      <w:r w:rsidR="003F00F2" w:rsidRPr="001B3304">
        <w:t>rafficking</w:t>
      </w:r>
      <w:bookmarkEnd w:id="147"/>
    </w:p>
    <w:p w14:paraId="25666579" w14:textId="77777777" w:rsidR="003F00F2" w:rsidRPr="001B3304" w:rsidRDefault="003F00F2" w:rsidP="003E1822">
      <w:pPr>
        <w:spacing w:line="276" w:lineRule="auto"/>
        <w:rPr>
          <w:rFonts w:ascii="Arial" w:hAnsi="Arial" w:cs="Arial"/>
        </w:rPr>
      </w:pPr>
    </w:p>
    <w:p w14:paraId="644FA11B" w14:textId="77777777" w:rsidR="003F00F2" w:rsidRPr="001B3304" w:rsidRDefault="003F00F2"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r w:rsidRPr="001B3304">
        <w:rPr>
          <w:rFonts w:ascii="Arial" w:hAnsi="Arial" w:cs="Arial"/>
        </w:rPr>
        <w:t xml:space="preserve">​ </w:t>
      </w:r>
    </w:p>
    <w:p w14:paraId="5DE473F4" w14:textId="7FFEF0E5" w:rsidR="003F00F2" w:rsidRPr="001B3304" w:rsidRDefault="003F00F2"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r w:rsidRPr="001B3304">
        <w:rPr>
          <w:rFonts w:ascii="Arial" w:hAnsi="Arial" w:cs="Arial"/>
        </w:rPr>
        <w:t xml:space="preserve">Click </w:t>
      </w:r>
      <w:hyperlink r:id="rId242" w:history="1">
        <w:r w:rsidRPr="001B3304">
          <w:rPr>
            <w:rStyle w:val="Hyperlink"/>
            <w:rFonts w:ascii="Arial" w:hAnsi="Arial" w:cs="Arial"/>
          </w:rPr>
          <w:t>here</w:t>
        </w:r>
      </w:hyperlink>
      <w:r w:rsidRPr="001B3304">
        <w:rPr>
          <w:rFonts w:ascii="Arial" w:hAnsi="Arial" w:cs="Arial"/>
        </w:rPr>
        <w:t xml:space="preserve"> to read memo on the elements of Trafficking of a Controlled Substance under s.5(2) of the CDSA ​</w:t>
      </w:r>
    </w:p>
    <w:p w14:paraId="20414E1B" w14:textId="77777777" w:rsidR="003F00F2" w:rsidRPr="001B3304" w:rsidRDefault="003F00F2"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p>
    <w:p w14:paraId="3DEB9B43" w14:textId="0D17ABEB" w:rsidR="00B10424" w:rsidRPr="001B3304" w:rsidRDefault="00B10424" w:rsidP="003E1822">
      <w:pPr>
        <w:pStyle w:val="NoSpacing"/>
        <w:rPr>
          <w:szCs w:val="24"/>
        </w:rPr>
      </w:pPr>
      <w:r w:rsidRPr="001B3304">
        <w:rPr>
          <w:szCs w:val="24"/>
        </w:rPr>
        <w:lastRenderedPageBreak/>
        <w:t>The definition of “traffic” in the </w:t>
      </w:r>
      <w:r w:rsidRPr="001B3304">
        <w:rPr>
          <w:i/>
          <w:iCs/>
          <w:szCs w:val="24"/>
        </w:rPr>
        <w:t>Controlled Drugs and Substances Act </w:t>
      </w:r>
      <w:r w:rsidRPr="001B3304">
        <w:rPr>
          <w:szCs w:val="24"/>
        </w:rPr>
        <w:t xml:space="preserve">includes “give.” Where the accused admits he intends to share a controlled substance in his possession with others, he possesses it for the purpose of trafficking. It is unnecessary to prove there was a settled plan with a third person who was prepared to share the drugs: </w:t>
      </w:r>
      <w:r w:rsidRPr="001B3304">
        <w:rPr>
          <w:i/>
          <w:iCs/>
          <w:szCs w:val="24"/>
        </w:rPr>
        <w:t xml:space="preserve">R v </w:t>
      </w:r>
      <w:proofErr w:type="spellStart"/>
      <w:r w:rsidRPr="001B3304">
        <w:rPr>
          <w:i/>
          <w:iCs/>
          <w:szCs w:val="24"/>
        </w:rPr>
        <w:t>Kernaz</w:t>
      </w:r>
      <w:proofErr w:type="spellEnd"/>
      <w:r w:rsidRPr="001B3304">
        <w:rPr>
          <w:i/>
          <w:iCs/>
          <w:szCs w:val="24"/>
        </w:rPr>
        <w:t xml:space="preserve">, </w:t>
      </w:r>
      <w:hyperlink r:id="rId243" w:history="1">
        <w:r w:rsidRPr="001B3304">
          <w:rPr>
            <w:rStyle w:val="Hyperlink"/>
            <w:szCs w:val="24"/>
          </w:rPr>
          <w:t>2019 SCC 48</w:t>
        </w:r>
      </w:hyperlink>
      <w:r w:rsidRPr="001B3304">
        <w:rPr>
          <w:szCs w:val="24"/>
        </w:rPr>
        <w:t xml:space="preserve"> affirming </w:t>
      </w:r>
      <w:hyperlink r:id="rId244" w:history="1">
        <w:r w:rsidRPr="001B3304">
          <w:rPr>
            <w:rStyle w:val="Hyperlink"/>
            <w:szCs w:val="24"/>
          </w:rPr>
          <w:t>2019 SCKA 37</w:t>
        </w:r>
      </w:hyperlink>
    </w:p>
    <w:p w14:paraId="12B02240" w14:textId="004F1B39" w:rsidR="00B10424" w:rsidRPr="001B3304" w:rsidRDefault="00B10424" w:rsidP="003E1822">
      <w:pPr>
        <w:spacing w:line="276" w:lineRule="auto"/>
        <w:rPr>
          <w:rFonts w:ascii="Arial" w:hAnsi="Arial" w:cs="Arial"/>
        </w:rPr>
      </w:pPr>
    </w:p>
    <w:p w14:paraId="75D40E61" w14:textId="6ECC74CE" w:rsidR="002B1535" w:rsidRPr="001B3304" w:rsidRDefault="002B1535" w:rsidP="002B1535">
      <w:pPr>
        <w:pStyle w:val="NoSpacing"/>
        <w:rPr>
          <w:szCs w:val="24"/>
        </w:rPr>
      </w:pPr>
      <w:r w:rsidRPr="001B3304">
        <w:rPr>
          <w:szCs w:val="24"/>
        </w:rPr>
        <w:t xml:space="preserve">In </w:t>
      </w:r>
      <w:proofErr w:type="spellStart"/>
      <w:r w:rsidRPr="001B3304">
        <w:rPr>
          <w:i/>
          <w:iCs/>
          <w:szCs w:val="24"/>
        </w:rPr>
        <w:t>Jahangiri</w:t>
      </w:r>
      <w:proofErr w:type="spellEnd"/>
      <w:r w:rsidRPr="001B3304">
        <w:rPr>
          <w:i/>
          <w:iCs/>
          <w:szCs w:val="24"/>
        </w:rPr>
        <w:t xml:space="preserve">, </w:t>
      </w:r>
      <w:r w:rsidRPr="001B3304">
        <w:rPr>
          <w:szCs w:val="24"/>
        </w:rPr>
        <w:t xml:space="preserve">the Court of Appeal found that “the fact that the appellant had a large quantity of cash in his bedroom safe was contemporaneous circumstantial evidence that, at the time of the offence, he was a drug trafficker: </w:t>
      </w:r>
      <w:r w:rsidRPr="001B3304">
        <w:rPr>
          <w:i/>
          <w:iCs/>
          <w:szCs w:val="24"/>
        </w:rPr>
        <w:t xml:space="preserve">R v </w:t>
      </w:r>
      <w:proofErr w:type="spellStart"/>
      <w:r w:rsidRPr="001B3304">
        <w:rPr>
          <w:i/>
          <w:iCs/>
          <w:szCs w:val="24"/>
        </w:rPr>
        <w:t>Jahangiri</w:t>
      </w:r>
      <w:proofErr w:type="spellEnd"/>
      <w:r w:rsidRPr="001B3304">
        <w:rPr>
          <w:i/>
          <w:iCs/>
          <w:szCs w:val="24"/>
        </w:rPr>
        <w:t xml:space="preserve">, </w:t>
      </w:r>
      <w:hyperlink r:id="rId245" w:history="1">
        <w:r w:rsidRPr="001B3304">
          <w:rPr>
            <w:rStyle w:val="Hyperlink"/>
            <w:szCs w:val="24"/>
          </w:rPr>
          <w:t>2022 ONCA 644</w:t>
        </w:r>
      </w:hyperlink>
      <w:r w:rsidRPr="001B3304">
        <w:rPr>
          <w:szCs w:val="24"/>
        </w:rPr>
        <w:t>, at paras 4, 28-36</w:t>
      </w:r>
    </w:p>
    <w:p w14:paraId="4BDFF863" w14:textId="77777777" w:rsidR="00777315" w:rsidRPr="001B3304" w:rsidRDefault="00777315" w:rsidP="003E1822">
      <w:pPr>
        <w:spacing w:line="276" w:lineRule="auto"/>
        <w:rPr>
          <w:rFonts w:ascii="Arial" w:hAnsi="Arial" w:cs="Arial"/>
        </w:rPr>
      </w:pPr>
    </w:p>
    <w:p w14:paraId="6753C031" w14:textId="6D290C83" w:rsidR="00C56330" w:rsidRPr="001B3304" w:rsidRDefault="00344479" w:rsidP="003E1822">
      <w:pPr>
        <w:pStyle w:val="Heading2"/>
        <w:spacing w:line="276" w:lineRule="auto"/>
      </w:pPr>
      <w:bookmarkStart w:id="148" w:name="_Toc134294178"/>
      <w:r w:rsidRPr="001B3304">
        <w:t>Trafficking</w:t>
      </w:r>
      <w:bookmarkEnd w:id="148"/>
    </w:p>
    <w:p w14:paraId="3F5CDC0D" w14:textId="349C8012" w:rsidR="00344479" w:rsidRPr="001B3304" w:rsidRDefault="00344479"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r w:rsidRPr="001B3304">
        <w:rPr>
          <w:rFonts w:ascii="Arial" w:hAnsi="Arial" w:cs="Arial"/>
        </w:rPr>
        <w:t xml:space="preserve">​ </w:t>
      </w:r>
    </w:p>
    <w:p w14:paraId="6872C78C" w14:textId="2069422D" w:rsidR="00344479" w:rsidRPr="001B3304" w:rsidRDefault="00344479"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r w:rsidRPr="001B3304">
        <w:rPr>
          <w:rFonts w:ascii="Arial" w:hAnsi="Arial" w:cs="Arial"/>
        </w:rPr>
        <w:t xml:space="preserve">Click </w:t>
      </w:r>
      <w:hyperlink r:id="rId246" w:history="1">
        <w:r w:rsidRPr="001B3304">
          <w:rPr>
            <w:rStyle w:val="Hyperlink"/>
            <w:rFonts w:ascii="Arial" w:hAnsi="Arial" w:cs="Arial"/>
          </w:rPr>
          <w:t>here</w:t>
        </w:r>
      </w:hyperlink>
      <w:r w:rsidRPr="001B3304">
        <w:rPr>
          <w:rFonts w:ascii="Arial" w:hAnsi="Arial" w:cs="Arial"/>
        </w:rPr>
        <w:t xml:space="preserve"> to read memo on the elements of Trafficking of a Controlled Substance under s.5(1) of the CDSA ​</w:t>
      </w:r>
    </w:p>
    <w:p w14:paraId="46705616" w14:textId="77777777" w:rsidR="00344479" w:rsidRPr="001B3304" w:rsidRDefault="00344479" w:rsidP="003E1822">
      <w:pPr>
        <w:spacing w:before="100" w:beforeAutospacing="1" w:after="100" w:afterAutospacing="1" w:line="276" w:lineRule="auto"/>
        <w:rPr>
          <w:rFonts w:ascii="Arial" w:hAnsi="Arial" w:cs="Arial"/>
        </w:rPr>
      </w:pPr>
    </w:p>
    <w:p w14:paraId="5EA3664D" w14:textId="77777777" w:rsidR="00344479" w:rsidRPr="001B3304" w:rsidRDefault="00344479" w:rsidP="003E1822">
      <w:pPr>
        <w:pStyle w:val="NoSpacing"/>
        <w:rPr>
          <w:szCs w:val="24"/>
        </w:rPr>
      </w:pPr>
      <w:r w:rsidRPr="001B3304">
        <w:rPr>
          <w:szCs w:val="24"/>
        </w:rPr>
        <w:t>As a matter of logic, experience and common sense, whether or not an accused's storage method put his children in danger does not shed any light on the purpose for which he possessed the drugs. A trier of fact may not avail himself of this evidence to come to a circumstantial inference that the accused possessed the pills for the purpose of trafficking. This would give rise to serious concerns about both moral and reasoning prejudice: </w:t>
      </w:r>
      <w:r w:rsidRPr="001B3304">
        <w:rPr>
          <w:i/>
          <w:iCs/>
          <w:szCs w:val="24"/>
        </w:rPr>
        <w:t>R v Pilgrim, </w:t>
      </w:r>
      <w:r w:rsidRPr="001B3304">
        <w:rPr>
          <w:szCs w:val="24"/>
          <w:u w:val="single"/>
        </w:rPr>
        <w:t>2017 ONCA 309</w:t>
      </w:r>
      <w:r w:rsidRPr="001B3304">
        <w:rPr>
          <w:szCs w:val="24"/>
        </w:rPr>
        <w:t xml:space="preserve"> at para 61</w:t>
      </w:r>
    </w:p>
    <w:p w14:paraId="4E6D3A9D" w14:textId="77777777" w:rsidR="00CA4503" w:rsidRPr="001B3304" w:rsidRDefault="00344479" w:rsidP="003E1822">
      <w:pPr>
        <w:spacing w:line="276" w:lineRule="auto"/>
        <w:rPr>
          <w:rFonts w:ascii="Arial" w:hAnsi="Arial" w:cs="Arial"/>
          <w:color w:val="000000"/>
        </w:rPr>
      </w:pPr>
      <w:r w:rsidRPr="001B3304">
        <w:rPr>
          <w:rFonts w:ascii="Arial" w:hAnsi="Arial" w:cs="Arial"/>
          <w:b/>
          <w:bCs/>
        </w:rPr>
        <w:t>​</w:t>
      </w:r>
    </w:p>
    <w:p w14:paraId="0FE987BF" w14:textId="5AEDAC0C" w:rsidR="00CA4503" w:rsidRPr="001B3304" w:rsidRDefault="00CA4503" w:rsidP="003E1822">
      <w:pPr>
        <w:pStyle w:val="NoSpacing"/>
        <w:rPr>
          <w:szCs w:val="24"/>
        </w:rPr>
      </w:pPr>
      <w:r w:rsidRPr="001B3304">
        <w:rPr>
          <w:szCs w:val="24"/>
        </w:rPr>
        <w:t xml:space="preserve">The offence of trafficking by offer is made out if the accused intends to make an offer that will be taken as a genuine offer by the recipient.  The Crown is not required to prove that the accused actually intended to go through with the offer and sell or otherwise provide the thing that is offered: </w:t>
      </w:r>
      <w:r w:rsidRPr="001B3304">
        <w:rPr>
          <w:i/>
          <w:szCs w:val="24"/>
        </w:rPr>
        <w:t xml:space="preserve">R v </w:t>
      </w:r>
      <w:proofErr w:type="spellStart"/>
      <w:r w:rsidRPr="001B3304">
        <w:rPr>
          <w:i/>
          <w:szCs w:val="24"/>
        </w:rPr>
        <w:t>Hersi</w:t>
      </w:r>
      <w:proofErr w:type="spellEnd"/>
      <w:r w:rsidRPr="001B3304">
        <w:rPr>
          <w:i/>
          <w:szCs w:val="24"/>
        </w:rPr>
        <w:t xml:space="preserve">, </w:t>
      </w:r>
      <w:hyperlink r:id="rId247" w:history="1">
        <w:r w:rsidRPr="001B3304">
          <w:rPr>
            <w:rStyle w:val="Hyperlink"/>
            <w:szCs w:val="24"/>
          </w:rPr>
          <w:t>2018 ONCA 1082</w:t>
        </w:r>
      </w:hyperlink>
      <w:r w:rsidRPr="001B3304">
        <w:rPr>
          <w:szCs w:val="24"/>
        </w:rPr>
        <w:t>, at para 4</w:t>
      </w:r>
    </w:p>
    <w:p w14:paraId="4ADCCAD4" w14:textId="77777777" w:rsidR="00D34881" w:rsidRPr="001B3304" w:rsidRDefault="00D34881" w:rsidP="003E1822">
      <w:pPr>
        <w:spacing w:before="100" w:beforeAutospacing="1" w:after="100" w:afterAutospacing="1" w:line="276" w:lineRule="auto"/>
        <w:jc w:val="both"/>
        <w:rPr>
          <w:rFonts w:ascii="Arial" w:hAnsi="Arial" w:cs="Arial"/>
        </w:rPr>
      </w:pPr>
    </w:p>
    <w:p w14:paraId="57F05B7A" w14:textId="6EA18312" w:rsidR="00344479" w:rsidRPr="001B3304" w:rsidRDefault="00DD6403" w:rsidP="003E1822">
      <w:pPr>
        <w:pStyle w:val="Heading2"/>
        <w:spacing w:line="276" w:lineRule="auto"/>
      </w:pPr>
      <w:bookmarkStart w:id="149" w:name="_Toc134294179"/>
      <w:r w:rsidRPr="001B3304">
        <w:t>I</w:t>
      </w:r>
      <w:r w:rsidR="00344479" w:rsidRPr="001B3304">
        <w:t>mporting</w:t>
      </w:r>
      <w:bookmarkEnd w:id="149"/>
    </w:p>
    <w:p w14:paraId="3AF22F36" w14:textId="77777777" w:rsidR="00344479" w:rsidRPr="001B3304" w:rsidRDefault="00344479" w:rsidP="003E1822">
      <w:pPr>
        <w:pStyle w:val="NoSpacing"/>
        <w:rPr>
          <w:szCs w:val="24"/>
        </w:rPr>
      </w:pPr>
      <w:r w:rsidRPr="001B3304">
        <w:rPr>
          <w:szCs w:val="24"/>
        </w:rPr>
        <w:t>​</w:t>
      </w:r>
    </w:p>
    <w:p w14:paraId="780A06ED" w14:textId="77777777" w:rsidR="00344479" w:rsidRPr="001B3304" w:rsidRDefault="00344479"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p>
    <w:p w14:paraId="33B8A9E9" w14:textId="5AB86C2A" w:rsidR="00344479" w:rsidRPr="001B3304" w:rsidRDefault="00344479"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r w:rsidRPr="001B3304">
        <w:rPr>
          <w:rFonts w:ascii="Arial" w:hAnsi="Arial" w:cs="Arial"/>
        </w:rPr>
        <w:t xml:space="preserve">Click </w:t>
      </w:r>
      <w:hyperlink r:id="rId248" w:history="1">
        <w:r w:rsidRPr="001B3304">
          <w:rPr>
            <w:rStyle w:val="Hyperlink"/>
            <w:rFonts w:ascii="Arial" w:hAnsi="Arial" w:cs="Arial"/>
          </w:rPr>
          <w:t>here</w:t>
        </w:r>
      </w:hyperlink>
      <w:r w:rsidRPr="001B3304">
        <w:rPr>
          <w:rFonts w:ascii="Arial" w:hAnsi="Arial" w:cs="Arial"/>
        </w:rPr>
        <w:t xml:space="preserve"> to read memo on the elements of Importing a Controlled Substance under s.6(1) of the CDSA ​</w:t>
      </w:r>
    </w:p>
    <w:p w14:paraId="4E5B1434" w14:textId="77777777" w:rsidR="00344479" w:rsidRPr="001B3304" w:rsidRDefault="00344479" w:rsidP="003E1822">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before="100" w:beforeAutospacing="1" w:after="100" w:afterAutospacing="1" w:line="276" w:lineRule="auto"/>
        <w:jc w:val="both"/>
        <w:rPr>
          <w:rFonts w:ascii="Arial" w:hAnsi="Arial" w:cs="Arial"/>
        </w:rPr>
      </w:pPr>
    </w:p>
    <w:p w14:paraId="1722F073" w14:textId="77777777" w:rsidR="00344479" w:rsidRPr="001B3304" w:rsidRDefault="00344479" w:rsidP="003E1822">
      <w:pPr>
        <w:pStyle w:val="NoSpacing"/>
        <w:rPr>
          <w:szCs w:val="24"/>
        </w:rPr>
      </w:pPr>
    </w:p>
    <w:p w14:paraId="0F118B7C" w14:textId="5F530CFB" w:rsidR="00233FBD" w:rsidRPr="001B3304" w:rsidRDefault="00344479" w:rsidP="003E1822">
      <w:pPr>
        <w:spacing w:line="276" w:lineRule="auto"/>
        <w:jc w:val="both"/>
        <w:rPr>
          <w:rFonts w:ascii="Arial" w:hAnsi="Arial" w:cs="Arial"/>
        </w:rPr>
      </w:pPr>
      <w:r w:rsidRPr="001B3304">
        <w:rPr>
          <w:rFonts w:ascii="Arial" w:hAnsi="Arial" w:cs="Arial"/>
        </w:rPr>
        <w:t>The offence of importing is a continuing offence</w:t>
      </w:r>
      <w:r w:rsidR="00BE7B7F" w:rsidRPr="001B3304">
        <w:rPr>
          <w:rFonts w:ascii="Arial" w:hAnsi="Arial" w:cs="Arial"/>
        </w:rPr>
        <w:t xml:space="preserve">. </w:t>
      </w:r>
      <w:r w:rsidR="00BE7B7F" w:rsidRPr="001B3304">
        <w:rPr>
          <w:rFonts w:ascii="Arial" w:hAnsi="Arial" w:cs="Arial"/>
          <w:color w:val="000000"/>
        </w:rPr>
        <w:t xml:space="preserve">While importing may be legally complete on entry into Canada, it is not factually complete until the drugs clear customs and become available to the ultimate recipient: </w:t>
      </w:r>
      <w:r w:rsidR="00233FBD" w:rsidRPr="001B3304">
        <w:rPr>
          <w:rFonts w:ascii="Arial" w:hAnsi="Arial" w:cs="Arial"/>
          <w:i/>
        </w:rPr>
        <w:t xml:space="preserve">R v Foster, </w:t>
      </w:r>
      <w:r w:rsidR="00233FBD" w:rsidRPr="001B3304">
        <w:rPr>
          <w:rFonts w:ascii="Arial" w:hAnsi="Arial" w:cs="Arial"/>
        </w:rPr>
        <w:t xml:space="preserve">2018 ONCA 53, </w:t>
      </w:r>
      <w:r w:rsidR="00233FBD" w:rsidRPr="001B3304">
        <w:rPr>
          <w:rFonts w:ascii="Arial" w:hAnsi="Arial" w:cs="Arial"/>
          <w:i/>
        </w:rPr>
        <w:t xml:space="preserve">R v </w:t>
      </w:r>
      <w:proofErr w:type="spellStart"/>
      <w:r w:rsidR="00233FBD" w:rsidRPr="001B3304">
        <w:rPr>
          <w:rFonts w:ascii="Arial" w:hAnsi="Arial" w:cs="Arial"/>
          <w:i/>
        </w:rPr>
        <w:t>Onyedinefu</w:t>
      </w:r>
      <w:proofErr w:type="spellEnd"/>
      <w:r w:rsidR="00233FBD" w:rsidRPr="001B3304">
        <w:rPr>
          <w:rFonts w:ascii="Arial" w:hAnsi="Arial" w:cs="Arial"/>
          <w:i/>
        </w:rPr>
        <w:t xml:space="preserve">, </w:t>
      </w:r>
      <w:hyperlink r:id="rId249" w:history="1">
        <w:r w:rsidR="00233FBD" w:rsidRPr="001B3304">
          <w:rPr>
            <w:rStyle w:val="Hyperlink"/>
            <w:rFonts w:ascii="Arial" w:hAnsi="Arial" w:cs="Arial"/>
          </w:rPr>
          <w:t>2018 ONCA 795</w:t>
        </w:r>
      </w:hyperlink>
      <w:r w:rsidR="00233FBD" w:rsidRPr="001B3304">
        <w:rPr>
          <w:rFonts w:ascii="Arial" w:hAnsi="Arial" w:cs="Arial"/>
        </w:rPr>
        <w:t>, at para 8</w:t>
      </w:r>
      <w:r w:rsidR="00BE7B7F" w:rsidRPr="001B3304">
        <w:rPr>
          <w:rFonts w:ascii="Arial" w:hAnsi="Arial" w:cs="Arial"/>
        </w:rPr>
        <w:t xml:space="preserve">. In </w:t>
      </w:r>
      <w:proofErr w:type="spellStart"/>
      <w:r w:rsidR="00BE7B7F" w:rsidRPr="001B3304">
        <w:rPr>
          <w:rFonts w:ascii="Arial" w:hAnsi="Arial" w:cs="Arial"/>
          <w:i/>
        </w:rPr>
        <w:t>Onyedinefu</w:t>
      </w:r>
      <w:proofErr w:type="spellEnd"/>
      <w:r w:rsidR="00BE7B7F" w:rsidRPr="001B3304">
        <w:rPr>
          <w:rFonts w:ascii="Arial" w:hAnsi="Arial" w:cs="Arial"/>
          <w:i/>
        </w:rPr>
        <w:t xml:space="preserve">, </w:t>
      </w:r>
      <w:r w:rsidR="00BE7B7F" w:rsidRPr="001B3304">
        <w:rPr>
          <w:rFonts w:ascii="Arial" w:hAnsi="Arial" w:cs="Arial"/>
        </w:rPr>
        <w:t xml:space="preserve">for example, the Court held that the offence of importing was not complete until the accused took </w:t>
      </w:r>
      <w:r w:rsidR="0094632E" w:rsidRPr="001B3304">
        <w:rPr>
          <w:rFonts w:ascii="Arial" w:hAnsi="Arial" w:cs="Arial"/>
        </w:rPr>
        <w:t>possession</w:t>
      </w:r>
      <w:r w:rsidR="00BE7B7F" w:rsidRPr="001B3304">
        <w:rPr>
          <w:rFonts w:ascii="Arial" w:hAnsi="Arial" w:cs="Arial"/>
        </w:rPr>
        <w:t xml:space="preserve"> of</w:t>
      </w:r>
      <w:r w:rsidR="0094632E" w:rsidRPr="001B3304">
        <w:rPr>
          <w:rFonts w:ascii="Arial" w:hAnsi="Arial" w:cs="Arial"/>
        </w:rPr>
        <w:t xml:space="preserve"> an imported package of heroin (para 8)</w:t>
      </w:r>
      <w:r w:rsidR="008C06FB" w:rsidRPr="001B3304">
        <w:rPr>
          <w:rFonts w:ascii="Arial" w:hAnsi="Arial" w:cs="Arial"/>
        </w:rPr>
        <w:t xml:space="preserve">. See also </w:t>
      </w:r>
      <w:r w:rsidR="008C06FB" w:rsidRPr="001B3304">
        <w:rPr>
          <w:rFonts w:ascii="Arial" w:hAnsi="Arial" w:cs="Arial"/>
          <w:i/>
          <w:iCs/>
        </w:rPr>
        <w:t xml:space="preserve">R v </w:t>
      </w:r>
      <w:proofErr w:type="spellStart"/>
      <w:r w:rsidR="008C06FB" w:rsidRPr="001B3304">
        <w:rPr>
          <w:rFonts w:ascii="Arial" w:hAnsi="Arial" w:cs="Arial"/>
          <w:i/>
          <w:iCs/>
        </w:rPr>
        <w:t>Buttazzoni</w:t>
      </w:r>
      <w:proofErr w:type="spellEnd"/>
      <w:r w:rsidR="008C06FB" w:rsidRPr="001B3304">
        <w:rPr>
          <w:rFonts w:ascii="Arial" w:hAnsi="Arial" w:cs="Arial"/>
          <w:i/>
          <w:iCs/>
        </w:rPr>
        <w:t xml:space="preserve">, </w:t>
      </w:r>
      <w:hyperlink r:id="rId250" w:history="1">
        <w:r w:rsidR="008C06FB" w:rsidRPr="001B3304">
          <w:rPr>
            <w:rStyle w:val="Hyperlink"/>
            <w:rFonts w:ascii="Arial" w:hAnsi="Arial" w:cs="Arial"/>
          </w:rPr>
          <w:t>2019 ONCA 645</w:t>
        </w:r>
      </w:hyperlink>
      <w:r w:rsidR="008C06FB" w:rsidRPr="001B3304">
        <w:rPr>
          <w:rFonts w:ascii="Arial" w:hAnsi="Arial" w:cs="Arial"/>
        </w:rPr>
        <w:t>, at paras 45-46</w:t>
      </w:r>
    </w:p>
    <w:p w14:paraId="1711D72D" w14:textId="77777777" w:rsidR="00233FBD" w:rsidRPr="001B3304" w:rsidRDefault="00233FBD" w:rsidP="003E1822">
      <w:pPr>
        <w:pStyle w:val="NoSpacing"/>
        <w:rPr>
          <w:szCs w:val="24"/>
        </w:rPr>
      </w:pPr>
    </w:p>
    <w:p w14:paraId="1B4550D7" w14:textId="2F20C427" w:rsidR="003F00F2" w:rsidRPr="001B3304" w:rsidRDefault="00344479" w:rsidP="003E1822">
      <w:pPr>
        <w:pStyle w:val="NoSpacing"/>
        <w:rPr>
          <w:szCs w:val="24"/>
        </w:rPr>
      </w:pPr>
      <w:r w:rsidRPr="001B3304">
        <w:rPr>
          <w:szCs w:val="24"/>
        </w:rPr>
        <w:t xml:space="preserve">For the purpose of a duress </w:t>
      </w:r>
      <w:proofErr w:type="spellStart"/>
      <w:r w:rsidRPr="001B3304">
        <w:rPr>
          <w:szCs w:val="24"/>
        </w:rPr>
        <w:t>defence</w:t>
      </w:r>
      <w:proofErr w:type="spellEnd"/>
      <w:r w:rsidRPr="001B3304">
        <w:rPr>
          <w:szCs w:val="24"/>
        </w:rPr>
        <w:t xml:space="preserve">, the jury can be instructed on whether the accused availed herself of a safe avenue of escape with the Canadian Border Services Agency or other law enforcement officers at any time prior to clearing customs: </w:t>
      </w:r>
      <w:r w:rsidRPr="001B3304">
        <w:rPr>
          <w:i/>
          <w:szCs w:val="24"/>
        </w:rPr>
        <w:t xml:space="preserve">R v Foster, </w:t>
      </w:r>
      <w:r w:rsidRPr="001B3304">
        <w:rPr>
          <w:szCs w:val="24"/>
        </w:rPr>
        <w:t>2018 ONCA 53</w:t>
      </w:r>
    </w:p>
    <w:p w14:paraId="39CE22A4" w14:textId="4AC63605" w:rsidR="000D1271" w:rsidRPr="001B3304" w:rsidRDefault="000D1271" w:rsidP="003E1822">
      <w:pPr>
        <w:spacing w:before="100" w:beforeAutospacing="1" w:after="100" w:afterAutospacing="1" w:line="276" w:lineRule="auto"/>
        <w:jc w:val="both"/>
        <w:rPr>
          <w:rFonts w:ascii="Arial" w:hAnsi="Arial" w:cs="Arial"/>
          <w:color w:val="000000"/>
        </w:rPr>
      </w:pPr>
      <w:r w:rsidRPr="001B3304">
        <w:rPr>
          <w:rFonts w:ascii="Arial" w:hAnsi="Arial" w:cs="Arial"/>
          <w:bdr w:val="none" w:sz="0" w:space="0" w:color="auto" w:frame="1"/>
        </w:rPr>
        <w:t>W</w:t>
      </w:r>
      <w:r w:rsidRPr="001B3304">
        <w:rPr>
          <w:rFonts w:ascii="Arial" w:hAnsi="Arial" w:cs="Arial"/>
          <w:color w:val="000000"/>
        </w:rPr>
        <w:t>here an accused is said to be in possession of a controlled substance of significant value, a trier of fact may infer:</w:t>
      </w:r>
    </w:p>
    <w:p w14:paraId="3413C326" w14:textId="77777777" w:rsidR="000D1271" w:rsidRPr="001B3304" w:rsidRDefault="000D1271" w:rsidP="003E1822">
      <w:pPr>
        <w:spacing w:before="100" w:beforeAutospacing="1" w:after="100" w:afterAutospacing="1" w:line="276" w:lineRule="auto"/>
        <w:ind w:left="1068" w:right="1068"/>
        <w:jc w:val="both"/>
        <w:rPr>
          <w:rFonts w:ascii="Arial" w:hAnsi="Arial" w:cs="Arial"/>
          <w:color w:val="000000"/>
        </w:rPr>
      </w:pPr>
      <w:proofErr w:type="spellStart"/>
      <w:r w:rsidRPr="001B3304">
        <w:rPr>
          <w:rFonts w:ascii="Arial" w:hAnsi="Arial" w:cs="Arial"/>
          <w:color w:val="000000"/>
        </w:rPr>
        <w:t>i</w:t>
      </w:r>
      <w:proofErr w:type="spellEnd"/>
      <w:r w:rsidRPr="001B3304">
        <w:rPr>
          <w:rFonts w:ascii="Arial" w:hAnsi="Arial" w:cs="Arial"/>
          <w:color w:val="000000"/>
        </w:rPr>
        <w:t>.       knowledge of the nature of the subject-matter; and</w:t>
      </w:r>
    </w:p>
    <w:p w14:paraId="75324CE9" w14:textId="77777777" w:rsidR="000D1271" w:rsidRPr="001B3304" w:rsidRDefault="000D1271" w:rsidP="003E1822">
      <w:pPr>
        <w:spacing w:before="100" w:beforeAutospacing="1" w:after="100" w:afterAutospacing="1" w:line="276" w:lineRule="auto"/>
        <w:ind w:left="1068" w:right="1068"/>
        <w:jc w:val="both"/>
        <w:rPr>
          <w:rFonts w:ascii="Arial" w:hAnsi="Arial" w:cs="Arial"/>
          <w:color w:val="000000"/>
        </w:rPr>
      </w:pPr>
      <w:r w:rsidRPr="001B3304">
        <w:rPr>
          <w:rFonts w:ascii="Arial" w:hAnsi="Arial" w:cs="Arial"/>
          <w:color w:val="000000"/>
        </w:rPr>
        <w:t>ii.     knowledge of the substance itself.</w:t>
      </w:r>
    </w:p>
    <w:p w14:paraId="25BD8B1F" w14:textId="5EEC3CAA" w:rsidR="000D1271" w:rsidRPr="001B3304" w:rsidRDefault="000D1271" w:rsidP="003E1822">
      <w:pPr>
        <w:spacing w:line="276" w:lineRule="auto"/>
        <w:jc w:val="both"/>
        <w:rPr>
          <w:rFonts w:ascii="Arial" w:hAnsi="Arial" w:cs="Arial"/>
        </w:rPr>
      </w:pPr>
      <w:r w:rsidRPr="001B3304">
        <w:rPr>
          <w:rFonts w:ascii="Arial" w:hAnsi="Arial" w:cs="Arial"/>
          <w:color w:val="000000"/>
        </w:rPr>
        <w:t xml:space="preserve">These inferences may be available from the objective improbability that such a valuable quantity of drugs would be entrusted to anyone who did not know the nature of the contents in the means of transport: </w:t>
      </w:r>
      <w:r w:rsidRPr="001B3304">
        <w:rPr>
          <w:rFonts w:ascii="Arial" w:hAnsi="Arial" w:cs="Arial"/>
          <w:i/>
          <w:color w:val="000000"/>
        </w:rPr>
        <w:t xml:space="preserve">R v Burnett, </w:t>
      </w:r>
      <w:r w:rsidRPr="001B3304">
        <w:rPr>
          <w:rFonts w:ascii="Arial" w:hAnsi="Arial" w:cs="Arial"/>
          <w:color w:val="000000"/>
        </w:rPr>
        <w:t>2018 ONCA 790 at para 64</w:t>
      </w:r>
      <w:r w:rsidR="00E63EC5" w:rsidRPr="001B3304">
        <w:rPr>
          <w:rFonts w:ascii="Arial" w:hAnsi="Arial" w:cs="Arial"/>
          <w:color w:val="000000"/>
        </w:rPr>
        <w:t xml:space="preserve">; </w:t>
      </w:r>
      <w:r w:rsidR="00E63EC5" w:rsidRPr="001B3304">
        <w:rPr>
          <w:rFonts w:ascii="Arial" w:hAnsi="Arial" w:cs="Arial"/>
          <w:i/>
          <w:iCs/>
          <w:color w:val="000000"/>
        </w:rPr>
        <w:t>R. v. Bains</w:t>
      </w:r>
      <w:r w:rsidR="00E63EC5" w:rsidRPr="001B3304">
        <w:rPr>
          <w:rFonts w:ascii="Arial" w:hAnsi="Arial" w:cs="Arial"/>
          <w:color w:val="000000"/>
        </w:rPr>
        <w:t>, 2015 ONCA 677</w:t>
      </w:r>
      <w:r w:rsidR="00E63EC5" w:rsidRPr="001B3304">
        <w:rPr>
          <w:rFonts w:ascii="Arial" w:hAnsi="Arial" w:cs="Arial"/>
        </w:rPr>
        <w:t xml:space="preserve"> at para 157</w:t>
      </w:r>
    </w:p>
    <w:p w14:paraId="6A7841FA" w14:textId="780D5742" w:rsidR="000D1271" w:rsidRPr="001B3304" w:rsidRDefault="000D1271" w:rsidP="003E1822">
      <w:pPr>
        <w:pStyle w:val="NoSpacing"/>
        <w:rPr>
          <w:szCs w:val="24"/>
        </w:rPr>
      </w:pPr>
    </w:p>
    <w:p w14:paraId="32D9778A" w14:textId="487A7732" w:rsidR="0079458B" w:rsidRPr="001B3304" w:rsidRDefault="0079458B" w:rsidP="003E1822">
      <w:pPr>
        <w:pStyle w:val="Heading2"/>
        <w:spacing w:line="276" w:lineRule="auto"/>
      </w:pPr>
      <w:bookmarkStart w:id="150" w:name="_Toc134294180"/>
      <w:r w:rsidRPr="001B3304">
        <w:t xml:space="preserve">Exemption from </w:t>
      </w:r>
      <w:r w:rsidR="00457CBD" w:rsidRPr="001B3304">
        <w:t>L</w:t>
      </w:r>
      <w:r w:rsidRPr="001B3304">
        <w:t>iability</w:t>
      </w:r>
      <w:bookmarkEnd w:id="150"/>
    </w:p>
    <w:p w14:paraId="175E86D2" w14:textId="4D65C7AA" w:rsidR="006E24A8" w:rsidRPr="001B3304" w:rsidRDefault="006E24A8" w:rsidP="003E1822">
      <w:pPr>
        <w:pStyle w:val="NoSpacing"/>
        <w:rPr>
          <w:szCs w:val="24"/>
        </w:rPr>
      </w:pPr>
    </w:p>
    <w:p w14:paraId="55B22B78" w14:textId="5F97F168" w:rsidR="0079458B" w:rsidRPr="001B3304" w:rsidRDefault="0079458B" w:rsidP="003E1822">
      <w:pPr>
        <w:pStyle w:val="NoSpacing"/>
        <w:rPr>
          <w:szCs w:val="24"/>
          <w:lang w:val="en-CA"/>
        </w:rPr>
      </w:pPr>
      <w:r w:rsidRPr="001B3304">
        <w:rPr>
          <w:szCs w:val="24"/>
          <w:lang w:val="en-CA"/>
        </w:rPr>
        <w:t>Regulations SOR/97-234 of the </w:t>
      </w:r>
      <w:r w:rsidRPr="001B3304">
        <w:rPr>
          <w:i/>
          <w:iCs/>
          <w:szCs w:val="24"/>
          <w:lang w:val="en-CA"/>
        </w:rPr>
        <w:t>Controlled Drugs and Substances Act</w:t>
      </w:r>
      <w:r w:rsidRPr="001B3304">
        <w:rPr>
          <w:szCs w:val="24"/>
          <w:lang w:val="en-CA"/>
        </w:rPr>
        <w:t xml:space="preserve">, S.C. 1996, c. 19 provides an exemption to liability for individuals acting under the direction </w:t>
      </w:r>
      <w:r w:rsidRPr="001B3304">
        <w:rPr>
          <w:szCs w:val="24"/>
          <w:lang w:val="en-CA"/>
        </w:rPr>
        <w:lastRenderedPageBreak/>
        <w:t xml:space="preserve">and control of a member of the police force. For an analysis of the factors relevant to assessing this defence, see </w:t>
      </w:r>
      <w:r w:rsidRPr="001B3304">
        <w:rPr>
          <w:i/>
          <w:szCs w:val="24"/>
          <w:lang w:val="en-CA"/>
        </w:rPr>
        <w:t xml:space="preserve">R v </w:t>
      </w:r>
      <w:proofErr w:type="spellStart"/>
      <w:r w:rsidRPr="001B3304">
        <w:rPr>
          <w:i/>
          <w:szCs w:val="24"/>
          <w:lang w:val="en-CA"/>
        </w:rPr>
        <w:t>Budimirovic</w:t>
      </w:r>
      <w:proofErr w:type="spellEnd"/>
      <w:r w:rsidRPr="001B3304">
        <w:rPr>
          <w:i/>
          <w:szCs w:val="24"/>
          <w:lang w:val="en-CA"/>
        </w:rPr>
        <w:t xml:space="preserve">, </w:t>
      </w:r>
      <w:hyperlink r:id="rId251" w:history="1">
        <w:r w:rsidRPr="001B3304">
          <w:rPr>
            <w:rStyle w:val="Hyperlink"/>
            <w:szCs w:val="24"/>
            <w:lang w:val="en-CA"/>
          </w:rPr>
          <w:t>2019 ONCA 65</w:t>
        </w:r>
      </w:hyperlink>
    </w:p>
    <w:p w14:paraId="54A9AAF6" w14:textId="3CF304D0" w:rsidR="0079458B" w:rsidRPr="001B3304" w:rsidRDefault="0079458B" w:rsidP="003E1822">
      <w:pPr>
        <w:pStyle w:val="NoSpacing"/>
        <w:rPr>
          <w:szCs w:val="24"/>
        </w:rPr>
      </w:pPr>
    </w:p>
    <w:p w14:paraId="68D2968C" w14:textId="77777777" w:rsidR="00777315" w:rsidRPr="001B3304" w:rsidRDefault="00777315" w:rsidP="003E1822">
      <w:pPr>
        <w:pStyle w:val="NoSpacing"/>
        <w:rPr>
          <w:szCs w:val="24"/>
        </w:rPr>
      </w:pPr>
    </w:p>
    <w:p w14:paraId="291E1371" w14:textId="6BE3F7C7" w:rsidR="006E24A8" w:rsidRPr="001B3304" w:rsidRDefault="006B09AF" w:rsidP="003E1822">
      <w:pPr>
        <w:pStyle w:val="Heading1"/>
        <w:spacing w:line="276" w:lineRule="auto"/>
        <w:rPr>
          <w:rFonts w:ascii="Arial" w:hAnsi="Arial" w:cs="Arial"/>
          <w:sz w:val="24"/>
          <w:szCs w:val="24"/>
        </w:rPr>
      </w:pPr>
      <w:bookmarkStart w:id="151" w:name="_Toc134294181"/>
      <w:r w:rsidRPr="001B3304">
        <w:rPr>
          <w:rFonts w:ascii="Arial" w:hAnsi="Arial" w:cs="Arial"/>
          <w:sz w:val="24"/>
          <w:szCs w:val="24"/>
        </w:rPr>
        <w:t xml:space="preserve">HIGHWAY TRAFFIC ACT OFFENCES </w:t>
      </w:r>
      <w:proofErr w:type="spellStart"/>
      <w:r w:rsidRPr="001B3304">
        <w:rPr>
          <w:rFonts w:ascii="Arial" w:hAnsi="Arial" w:cs="Arial"/>
          <w:sz w:val="24"/>
          <w:szCs w:val="24"/>
        </w:rPr>
        <w:t>OFFENCES</w:t>
      </w:r>
      <w:bookmarkEnd w:id="151"/>
      <w:proofErr w:type="spellEnd"/>
    </w:p>
    <w:p w14:paraId="01DC8D21" w14:textId="77777777" w:rsidR="006E24A8" w:rsidRPr="001B3304" w:rsidRDefault="006E24A8" w:rsidP="003E1822">
      <w:pPr>
        <w:pStyle w:val="Heading2"/>
        <w:numPr>
          <w:ilvl w:val="0"/>
          <w:numId w:val="18"/>
        </w:numPr>
        <w:spacing w:line="276" w:lineRule="auto"/>
      </w:pPr>
      <w:bookmarkStart w:id="152" w:name="_Toc134294182"/>
      <w:r w:rsidRPr="001B3304">
        <w:t>Drive no Insurance</w:t>
      </w:r>
      <w:bookmarkEnd w:id="152"/>
    </w:p>
    <w:p w14:paraId="051ECB83" w14:textId="77777777" w:rsidR="006E24A8" w:rsidRPr="001B3304" w:rsidRDefault="006E24A8" w:rsidP="003E1822">
      <w:pPr>
        <w:spacing w:line="276" w:lineRule="auto"/>
        <w:rPr>
          <w:rFonts w:ascii="Arial" w:hAnsi="Arial" w:cs="Arial"/>
        </w:rPr>
      </w:pPr>
    </w:p>
    <w:p w14:paraId="09720DA1" w14:textId="77777777" w:rsidR="006E24A8" w:rsidRPr="001B3304" w:rsidRDefault="006E24A8" w:rsidP="003E1822">
      <w:pPr>
        <w:spacing w:line="276" w:lineRule="auto"/>
        <w:jc w:val="both"/>
        <w:rPr>
          <w:rFonts w:ascii="Arial" w:hAnsi="Arial" w:cs="Arial"/>
        </w:rPr>
      </w:pPr>
      <w:r w:rsidRPr="001B3304">
        <w:rPr>
          <w:rFonts w:ascii="Arial" w:hAnsi="Arial" w:cs="Arial"/>
        </w:rPr>
        <w:t xml:space="preserve">In the absence of evidence to the contrary, a statutory declaration from an insurance company under s.13.2(2) of the </w:t>
      </w:r>
      <w:r w:rsidRPr="001B3304">
        <w:rPr>
          <w:rFonts w:ascii="Arial" w:hAnsi="Arial" w:cs="Arial"/>
          <w:i/>
        </w:rPr>
        <w:t xml:space="preserve">Compulsory Automobile Insurance Act </w:t>
      </w:r>
      <w:r w:rsidRPr="001B3304">
        <w:rPr>
          <w:rFonts w:ascii="Arial" w:hAnsi="Arial" w:cs="Arial"/>
        </w:rPr>
        <w:t xml:space="preserve">provides clear evidence that the vehicle driven by the accused was or was not covered by a valid policy of insurance at the time of the alleged offence: </w:t>
      </w:r>
      <w:r w:rsidRPr="001B3304">
        <w:rPr>
          <w:rFonts w:ascii="Arial" w:hAnsi="Arial" w:cs="Arial"/>
          <w:i/>
        </w:rPr>
        <w:t xml:space="preserve">R v Gilchrist, </w:t>
      </w:r>
      <w:r w:rsidRPr="001B3304">
        <w:rPr>
          <w:rFonts w:ascii="Arial" w:hAnsi="Arial" w:cs="Arial"/>
        </w:rPr>
        <w:t xml:space="preserve">2018 ONCA 430 </w:t>
      </w:r>
    </w:p>
    <w:p w14:paraId="2066F6FD" w14:textId="77777777" w:rsidR="006E24A8" w:rsidRPr="001B3304" w:rsidRDefault="006E24A8" w:rsidP="003E1822">
      <w:pPr>
        <w:pStyle w:val="NoSpacing"/>
        <w:rPr>
          <w:szCs w:val="24"/>
        </w:rPr>
      </w:pPr>
    </w:p>
    <w:p w14:paraId="5428568B" w14:textId="5AD1F5A0" w:rsidR="00A532D2" w:rsidRPr="001B3304" w:rsidRDefault="00A532D2" w:rsidP="003E1822">
      <w:pPr>
        <w:spacing w:line="276" w:lineRule="auto"/>
        <w:rPr>
          <w:rFonts w:ascii="Arial" w:hAnsi="Arial" w:cs="Arial"/>
        </w:rPr>
      </w:pPr>
    </w:p>
    <w:p w14:paraId="4391B423" w14:textId="77777777" w:rsidR="00D23B96" w:rsidRPr="001B3304" w:rsidRDefault="00D23B96" w:rsidP="003E1822">
      <w:pPr>
        <w:spacing w:line="276" w:lineRule="auto"/>
        <w:rPr>
          <w:rFonts w:ascii="Arial" w:hAnsi="Arial" w:cs="Arial"/>
        </w:rPr>
      </w:pPr>
    </w:p>
    <w:p w14:paraId="4A3249C6" w14:textId="4A22CC55" w:rsidR="00D97E6F" w:rsidRPr="001B3304" w:rsidRDefault="006B09AF" w:rsidP="003E1822">
      <w:pPr>
        <w:pStyle w:val="Heading1"/>
        <w:spacing w:line="276" w:lineRule="auto"/>
        <w:rPr>
          <w:rFonts w:ascii="Arial" w:hAnsi="Arial" w:cs="Arial"/>
          <w:sz w:val="24"/>
          <w:szCs w:val="24"/>
        </w:rPr>
      </w:pPr>
      <w:bookmarkStart w:id="153" w:name="_Toc134294183"/>
      <w:r w:rsidRPr="001B3304">
        <w:rPr>
          <w:rFonts w:ascii="Arial" w:hAnsi="Arial" w:cs="Arial"/>
          <w:sz w:val="24"/>
          <w:szCs w:val="24"/>
        </w:rPr>
        <w:t>PROCEEDS OF CRIME AND TERRORIST FINANCING ACT</w:t>
      </w:r>
      <w:bookmarkEnd w:id="153"/>
    </w:p>
    <w:p w14:paraId="0644FBF0" w14:textId="77777777" w:rsidR="00D97E6F" w:rsidRPr="001B3304" w:rsidRDefault="00D97E6F" w:rsidP="003E1822">
      <w:pPr>
        <w:spacing w:line="276" w:lineRule="auto"/>
        <w:rPr>
          <w:rFonts w:ascii="Arial" w:hAnsi="Arial" w:cs="Arial"/>
        </w:rPr>
      </w:pPr>
    </w:p>
    <w:p w14:paraId="70C089E6" w14:textId="1B71935D" w:rsidR="00C73905" w:rsidRPr="001B3304" w:rsidRDefault="002D185D" w:rsidP="003E1822">
      <w:pPr>
        <w:pStyle w:val="Heading2"/>
        <w:numPr>
          <w:ilvl w:val="0"/>
          <w:numId w:val="23"/>
        </w:numPr>
        <w:spacing w:line="276" w:lineRule="auto"/>
      </w:pPr>
      <w:bookmarkStart w:id="154" w:name="_Toc134294184"/>
      <w:r w:rsidRPr="001B3304">
        <w:t>Laundering Proceeds of C</w:t>
      </w:r>
      <w:r w:rsidR="00C73905" w:rsidRPr="001B3304">
        <w:t>rime</w:t>
      </w:r>
      <w:bookmarkEnd w:id="154"/>
    </w:p>
    <w:p w14:paraId="25772468" w14:textId="77777777" w:rsidR="00C73905" w:rsidRPr="001B3304" w:rsidRDefault="00C73905" w:rsidP="003E1822">
      <w:pPr>
        <w:spacing w:line="276" w:lineRule="auto"/>
        <w:rPr>
          <w:rFonts w:ascii="Arial" w:hAnsi="Arial" w:cs="Arial"/>
        </w:rPr>
      </w:pPr>
    </w:p>
    <w:p w14:paraId="533BB4B1" w14:textId="07E8BA6B" w:rsidR="00C73905" w:rsidRPr="001B3304" w:rsidRDefault="00C73905" w:rsidP="003E1822">
      <w:pPr>
        <w:pStyle w:val="NoSpacing"/>
        <w:rPr>
          <w:szCs w:val="24"/>
        </w:rPr>
      </w:pPr>
      <w:r w:rsidRPr="001B3304">
        <w:rPr>
          <w:szCs w:val="24"/>
        </w:rPr>
        <w:t>The essential elements of laundering proceeds of crime are: (1) that the accused dealt with property (in this case, the bank draft) or proceeds of property; (2) that the property was obtained by crime (in this case, fraud); (3) that the accused knew or believed that the property had been obtained by crime; and (4) that the accused intended to conceal or convert the property: </w:t>
      </w:r>
      <w:r w:rsidRPr="001B3304">
        <w:rPr>
          <w:i/>
          <w:iCs/>
          <w:szCs w:val="24"/>
        </w:rPr>
        <w:t xml:space="preserve">R v </w:t>
      </w:r>
      <w:proofErr w:type="spellStart"/>
      <w:r w:rsidR="00894217" w:rsidRPr="001B3304">
        <w:rPr>
          <w:i/>
          <w:iCs/>
          <w:szCs w:val="24"/>
        </w:rPr>
        <w:t>Barna</w:t>
      </w:r>
      <w:proofErr w:type="spellEnd"/>
      <w:r w:rsidR="00894217" w:rsidRPr="001B3304">
        <w:rPr>
          <w:i/>
          <w:iCs/>
          <w:szCs w:val="24"/>
        </w:rPr>
        <w:t xml:space="preserve">, </w:t>
      </w:r>
      <w:hyperlink r:id="rId252" w:history="1">
        <w:r w:rsidR="00894217" w:rsidRPr="001B3304">
          <w:rPr>
            <w:rStyle w:val="Hyperlink"/>
            <w:iCs/>
            <w:szCs w:val="24"/>
          </w:rPr>
          <w:t>2018 ONCA 1034</w:t>
        </w:r>
      </w:hyperlink>
      <w:r w:rsidR="00894217" w:rsidRPr="001B3304">
        <w:rPr>
          <w:iCs/>
          <w:szCs w:val="24"/>
        </w:rPr>
        <w:t xml:space="preserve">, at para 12 </w:t>
      </w:r>
    </w:p>
    <w:p w14:paraId="348FCDBB" w14:textId="77777777" w:rsidR="00C73905" w:rsidRPr="001B3304" w:rsidRDefault="00C73905" w:rsidP="003E1822">
      <w:pPr>
        <w:spacing w:line="276" w:lineRule="auto"/>
        <w:rPr>
          <w:rFonts w:ascii="Arial" w:hAnsi="Arial" w:cs="Arial"/>
        </w:rPr>
      </w:pPr>
    </w:p>
    <w:p w14:paraId="54B88618" w14:textId="3BAB9C96" w:rsidR="009228C9" w:rsidRPr="001B3304" w:rsidRDefault="009228C9" w:rsidP="003E1822">
      <w:pPr>
        <w:spacing w:line="276" w:lineRule="auto"/>
        <w:rPr>
          <w:rFonts w:ascii="Arial" w:hAnsi="Arial" w:cs="Arial"/>
        </w:rPr>
      </w:pPr>
    </w:p>
    <w:p w14:paraId="41A2EAFA" w14:textId="221D5369" w:rsidR="00777315" w:rsidRPr="001B3304" w:rsidRDefault="00777315" w:rsidP="003E1822">
      <w:pPr>
        <w:spacing w:line="276" w:lineRule="auto"/>
        <w:rPr>
          <w:rFonts w:ascii="Arial" w:hAnsi="Arial" w:cs="Arial"/>
        </w:rPr>
      </w:pPr>
    </w:p>
    <w:p w14:paraId="5A15ADC6" w14:textId="0A6F335D" w:rsidR="00777315" w:rsidRPr="001B3304" w:rsidRDefault="00777315" w:rsidP="003E1822">
      <w:pPr>
        <w:spacing w:line="276" w:lineRule="auto"/>
        <w:rPr>
          <w:rFonts w:ascii="Arial" w:hAnsi="Arial" w:cs="Arial"/>
        </w:rPr>
      </w:pPr>
    </w:p>
    <w:p w14:paraId="67123486" w14:textId="479C52B0" w:rsidR="00777315" w:rsidRPr="001B3304" w:rsidRDefault="00777315" w:rsidP="003E1822">
      <w:pPr>
        <w:spacing w:line="276" w:lineRule="auto"/>
        <w:rPr>
          <w:rFonts w:ascii="Arial" w:hAnsi="Arial" w:cs="Arial"/>
        </w:rPr>
      </w:pPr>
    </w:p>
    <w:p w14:paraId="6785356C" w14:textId="457669CD" w:rsidR="00AE0568" w:rsidRPr="001B3304" w:rsidRDefault="006B09AF" w:rsidP="003E1822">
      <w:pPr>
        <w:pStyle w:val="Heading1"/>
        <w:spacing w:line="276" w:lineRule="auto"/>
        <w:rPr>
          <w:rFonts w:ascii="Arial" w:hAnsi="Arial" w:cs="Arial"/>
          <w:sz w:val="24"/>
          <w:szCs w:val="24"/>
        </w:rPr>
      </w:pPr>
      <w:bookmarkStart w:id="155" w:name="_Toc134294185"/>
      <w:r w:rsidRPr="001B3304">
        <w:rPr>
          <w:rFonts w:ascii="Arial" w:hAnsi="Arial" w:cs="Arial"/>
          <w:sz w:val="24"/>
          <w:szCs w:val="24"/>
        </w:rPr>
        <w:lastRenderedPageBreak/>
        <w:t>INCOME TAX ACT OFFENCES</w:t>
      </w:r>
      <w:bookmarkEnd w:id="155"/>
      <w:r w:rsidRPr="001B3304">
        <w:rPr>
          <w:rFonts w:ascii="Arial" w:hAnsi="Arial" w:cs="Arial"/>
          <w:sz w:val="24"/>
          <w:szCs w:val="24"/>
        </w:rPr>
        <w:t xml:space="preserve"> </w:t>
      </w:r>
    </w:p>
    <w:p w14:paraId="734A567B" w14:textId="77777777" w:rsidR="00AE0568" w:rsidRPr="001B3304" w:rsidRDefault="00AE0568" w:rsidP="003E1822">
      <w:pPr>
        <w:spacing w:line="276" w:lineRule="auto"/>
        <w:rPr>
          <w:rFonts w:ascii="Arial" w:hAnsi="Arial" w:cs="Arial"/>
        </w:rPr>
      </w:pPr>
    </w:p>
    <w:p w14:paraId="120ABA0F" w14:textId="2573184A" w:rsidR="00DE2DDC" w:rsidRPr="001B3304" w:rsidRDefault="002D185D" w:rsidP="003E1822">
      <w:pPr>
        <w:pStyle w:val="Heading2"/>
        <w:numPr>
          <w:ilvl w:val="0"/>
          <w:numId w:val="21"/>
        </w:numPr>
        <w:spacing w:line="276" w:lineRule="auto"/>
      </w:pPr>
      <w:bookmarkStart w:id="156" w:name="_Toc134294186"/>
      <w:r w:rsidRPr="001B3304">
        <w:t>Tax E</w:t>
      </w:r>
      <w:r w:rsidR="00DE2DDC" w:rsidRPr="001B3304">
        <w:t>vasion</w:t>
      </w:r>
      <w:bookmarkEnd w:id="156"/>
    </w:p>
    <w:p w14:paraId="038D46AB" w14:textId="77777777" w:rsidR="00DE2DDC" w:rsidRPr="001B3304" w:rsidRDefault="00DE2DDC" w:rsidP="003E1822">
      <w:pPr>
        <w:spacing w:line="276" w:lineRule="auto"/>
        <w:rPr>
          <w:rFonts w:ascii="Arial" w:hAnsi="Arial" w:cs="Arial"/>
        </w:rPr>
      </w:pPr>
    </w:p>
    <w:p w14:paraId="44ED8609" w14:textId="77777777" w:rsidR="00AE0568" w:rsidRPr="001B3304" w:rsidRDefault="00AE0568" w:rsidP="003E1822">
      <w:pPr>
        <w:pStyle w:val="NoSpacing"/>
        <w:rPr>
          <w:szCs w:val="24"/>
        </w:rPr>
      </w:pPr>
      <w:r w:rsidRPr="001B3304">
        <w:rPr>
          <w:szCs w:val="24"/>
        </w:rPr>
        <w:t>The essential elements of tax evasion are:</w:t>
      </w:r>
    </w:p>
    <w:p w14:paraId="687156C8" w14:textId="673BD917" w:rsidR="00AE0568" w:rsidRPr="001B3304" w:rsidRDefault="00AE0568" w:rsidP="003E1822">
      <w:pPr>
        <w:pStyle w:val="NoSpacing"/>
        <w:rPr>
          <w:szCs w:val="24"/>
        </w:rPr>
      </w:pPr>
      <w:r w:rsidRPr="001B3304">
        <w:rPr>
          <w:szCs w:val="24"/>
        </w:rPr>
        <w:t xml:space="preserve"> </w:t>
      </w:r>
    </w:p>
    <w:p w14:paraId="5F1B3369" w14:textId="77777777" w:rsidR="00AE0568" w:rsidRPr="001B3304" w:rsidRDefault="00AE0568" w:rsidP="003E1822">
      <w:pPr>
        <w:pStyle w:val="NoSpacing"/>
        <w:numPr>
          <w:ilvl w:val="0"/>
          <w:numId w:val="6"/>
        </w:numPr>
        <w:rPr>
          <w:szCs w:val="24"/>
        </w:rPr>
      </w:pPr>
      <w:r w:rsidRPr="001B3304">
        <w:rPr>
          <w:szCs w:val="24"/>
        </w:rPr>
        <w:t>That the accused knew that tax was owed under the Act as charged</w:t>
      </w:r>
    </w:p>
    <w:p w14:paraId="31902D8B" w14:textId="77777777" w:rsidR="00AE0568" w:rsidRPr="001B3304" w:rsidRDefault="00AE0568" w:rsidP="003E1822">
      <w:pPr>
        <w:pStyle w:val="NoSpacing"/>
        <w:numPr>
          <w:ilvl w:val="0"/>
          <w:numId w:val="6"/>
        </w:numPr>
        <w:rPr>
          <w:szCs w:val="24"/>
        </w:rPr>
      </w:pPr>
      <w:r w:rsidRPr="001B3304">
        <w:rPr>
          <w:szCs w:val="24"/>
        </w:rPr>
        <w:t>That the accused did something or engaged in a course of conduct that avoided or attempted to avoid the payment of tax;</w:t>
      </w:r>
    </w:p>
    <w:p w14:paraId="481214FF" w14:textId="06FF4ED5" w:rsidR="00AE0568" w:rsidRPr="001B3304" w:rsidRDefault="00AE0568" w:rsidP="003E1822">
      <w:pPr>
        <w:pStyle w:val="NoSpacing"/>
        <w:numPr>
          <w:ilvl w:val="0"/>
          <w:numId w:val="6"/>
        </w:numPr>
        <w:rPr>
          <w:szCs w:val="24"/>
        </w:rPr>
      </w:pPr>
      <w:r w:rsidRPr="001B3304">
        <w:rPr>
          <w:szCs w:val="24"/>
        </w:rPr>
        <w:t>That the accused intended to avoid or intended to attempt to avoid payment of that tax: R v Mahmood, 2016 ONCA 75 at paras 7-8</w:t>
      </w:r>
    </w:p>
    <w:p w14:paraId="0B7FFE86" w14:textId="77777777" w:rsidR="00AE0568" w:rsidRPr="001B3304" w:rsidRDefault="00AE0568" w:rsidP="003E1822">
      <w:pPr>
        <w:pStyle w:val="NoSpacing"/>
        <w:rPr>
          <w:szCs w:val="24"/>
        </w:rPr>
      </w:pPr>
    </w:p>
    <w:p w14:paraId="78BC5B4B" w14:textId="77777777" w:rsidR="00AE0568" w:rsidRPr="001B3304" w:rsidRDefault="00AE0568" w:rsidP="003E1822">
      <w:pPr>
        <w:pStyle w:val="NoSpacing"/>
        <w:rPr>
          <w:szCs w:val="24"/>
        </w:rPr>
      </w:pPr>
      <w:r w:rsidRPr="001B3304">
        <w:rPr>
          <w:szCs w:val="24"/>
        </w:rPr>
        <w:t xml:space="preserve">There is no legal distinction between fraudulently </w:t>
      </w:r>
      <w:proofErr w:type="spellStart"/>
      <w:r w:rsidRPr="001B3304">
        <w:rPr>
          <w:szCs w:val="24"/>
        </w:rPr>
        <w:t>recieving</w:t>
      </w:r>
      <w:proofErr w:type="spellEnd"/>
      <w:r w:rsidRPr="001B3304">
        <w:rPr>
          <w:szCs w:val="24"/>
        </w:rPr>
        <w:t xml:space="preserve"> government funds and failing to pay government taxes: </w:t>
      </w:r>
      <w:r w:rsidRPr="001B3304">
        <w:rPr>
          <w:i/>
          <w:iCs/>
          <w:szCs w:val="24"/>
        </w:rPr>
        <w:t>R v Mahmood, </w:t>
      </w:r>
      <w:r w:rsidRPr="001B3304">
        <w:rPr>
          <w:szCs w:val="24"/>
          <w:u w:val="single"/>
        </w:rPr>
        <w:t>2016 ONCA 75</w:t>
      </w:r>
      <w:r w:rsidRPr="001B3304">
        <w:rPr>
          <w:szCs w:val="24"/>
        </w:rPr>
        <w:t> at paras 19-20 </w:t>
      </w:r>
    </w:p>
    <w:p w14:paraId="34BA84DF" w14:textId="101D25C7" w:rsidR="00640C14" w:rsidRPr="001B3304" w:rsidRDefault="00640C14" w:rsidP="003E1822">
      <w:pPr>
        <w:spacing w:before="100" w:beforeAutospacing="1" w:after="100" w:afterAutospacing="1" w:line="276" w:lineRule="auto"/>
        <w:jc w:val="both"/>
        <w:rPr>
          <w:rFonts w:ascii="Arial" w:hAnsi="Arial" w:cs="Arial"/>
        </w:rPr>
      </w:pPr>
    </w:p>
    <w:p w14:paraId="21F0678D" w14:textId="77777777" w:rsidR="00AE0568" w:rsidRPr="001B3304" w:rsidRDefault="00AE0568" w:rsidP="003E1822">
      <w:pPr>
        <w:spacing w:line="276" w:lineRule="auto"/>
        <w:rPr>
          <w:rFonts w:ascii="Arial" w:hAnsi="Arial" w:cs="Arial"/>
        </w:rPr>
      </w:pPr>
    </w:p>
    <w:sectPr w:rsidR="00AE0568" w:rsidRPr="001B3304" w:rsidSect="00297114">
      <w:footerReference w:type="even" r:id="rId253"/>
      <w:footerReference w:type="default" r:id="rId2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A519" w14:textId="77777777" w:rsidR="005731A8" w:rsidRDefault="005731A8" w:rsidP="000C6195">
      <w:r>
        <w:separator/>
      </w:r>
    </w:p>
  </w:endnote>
  <w:endnote w:type="continuationSeparator" w:id="0">
    <w:p w14:paraId="12AA8896" w14:textId="77777777" w:rsidR="005731A8" w:rsidRDefault="005731A8" w:rsidP="000C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123" w14:textId="77777777" w:rsidR="00E65E9A" w:rsidRDefault="00E65E9A" w:rsidP="00C5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DF4BD" w14:textId="77777777" w:rsidR="00E65E9A" w:rsidRDefault="00E65E9A" w:rsidP="000C6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1488" w14:textId="77777777" w:rsidR="00E65E9A" w:rsidRDefault="00E65E9A" w:rsidP="00C5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8D5F5C9" w14:textId="77777777" w:rsidR="00E65E9A" w:rsidRDefault="00E65E9A" w:rsidP="000C61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7F9F" w14:textId="77777777" w:rsidR="005731A8" w:rsidRDefault="005731A8" w:rsidP="000C6195">
      <w:r>
        <w:separator/>
      </w:r>
    </w:p>
  </w:footnote>
  <w:footnote w:type="continuationSeparator" w:id="0">
    <w:p w14:paraId="0A13717B" w14:textId="77777777" w:rsidR="005731A8" w:rsidRDefault="005731A8" w:rsidP="000C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E1D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17BC"/>
    <w:multiLevelType w:val="hybridMultilevel"/>
    <w:tmpl w:val="5E72ADBC"/>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3C6A"/>
    <w:multiLevelType w:val="hybridMultilevel"/>
    <w:tmpl w:val="C5A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2B33"/>
    <w:multiLevelType w:val="hybridMultilevel"/>
    <w:tmpl w:val="FDD0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536DD"/>
    <w:multiLevelType w:val="hybridMultilevel"/>
    <w:tmpl w:val="8E48DA28"/>
    <w:lvl w:ilvl="0" w:tplc="3CF61E80">
      <w:start w:val="1"/>
      <w:numFmt w:val="lowerLetter"/>
      <w:lvlText w:val="(%1)"/>
      <w:lvlJc w:val="left"/>
      <w:pPr>
        <w:ind w:left="760" w:hanging="7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EC21D8C"/>
    <w:multiLevelType w:val="hybridMultilevel"/>
    <w:tmpl w:val="74007DDA"/>
    <w:lvl w:ilvl="0" w:tplc="67FA7BDA">
      <w:start w:val="2003"/>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21844"/>
    <w:multiLevelType w:val="hybridMultilevel"/>
    <w:tmpl w:val="FD1A52EA"/>
    <w:lvl w:ilvl="0" w:tplc="4E440220">
      <w:start w:val="1"/>
      <w:numFmt w:val="lowerLetter"/>
      <w:pStyle w:val="Heading4"/>
      <w:lvlText w:val="%1)"/>
      <w:lvlJc w:val="left"/>
      <w:pPr>
        <w:ind w:left="1440" w:hanging="360"/>
      </w:pPr>
      <w:rPr>
        <w:rFonts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C42A2"/>
    <w:multiLevelType w:val="hybridMultilevel"/>
    <w:tmpl w:val="48E85552"/>
    <w:lvl w:ilvl="0" w:tplc="C038C5C0">
      <w:start w:val="1"/>
      <w:numFmt w:val="lowerRoman"/>
      <w:pStyle w:val="Heading3"/>
      <w:lvlText w:val="%1."/>
      <w:lvlJc w:val="left"/>
      <w:pPr>
        <w:ind w:left="720" w:hanging="360"/>
      </w:pPr>
      <w:rPr>
        <w:rFonts w:hint="default"/>
      </w:rPr>
    </w:lvl>
    <w:lvl w:ilvl="1" w:tplc="CB96D66A">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42A98"/>
    <w:multiLevelType w:val="hybridMultilevel"/>
    <w:tmpl w:val="6CD0D474"/>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B7EB2"/>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652D3D"/>
    <w:multiLevelType w:val="hybridMultilevel"/>
    <w:tmpl w:val="953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C2092"/>
    <w:multiLevelType w:val="hybridMultilevel"/>
    <w:tmpl w:val="93F6D19A"/>
    <w:lvl w:ilvl="0" w:tplc="04090001">
      <w:start w:val="1"/>
      <w:numFmt w:val="bullet"/>
      <w:lvlText w:val=""/>
      <w:lvlJc w:val="left"/>
      <w:pPr>
        <w:ind w:left="720" w:hanging="360"/>
      </w:pPr>
      <w:rPr>
        <w:rFonts w:ascii="Symbol" w:hAnsi="Symbol" w:hint="default"/>
      </w:rPr>
    </w:lvl>
    <w:lvl w:ilvl="1" w:tplc="A6F0F80A">
      <w:numFmt w:val="bullet"/>
      <w:lvlText w:val="·"/>
      <w:lvlJc w:val="left"/>
      <w:pPr>
        <w:ind w:left="1560" w:hanging="480"/>
      </w:pPr>
      <w:rPr>
        <w:rFonts w:ascii="Arial" w:eastAsiaTheme="maj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97420"/>
    <w:multiLevelType w:val="hybridMultilevel"/>
    <w:tmpl w:val="7AD8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00193"/>
    <w:multiLevelType w:val="hybridMultilevel"/>
    <w:tmpl w:val="D9EA85A4"/>
    <w:lvl w:ilvl="0" w:tplc="67FA7BDA">
      <w:start w:val="2003"/>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20D4"/>
    <w:multiLevelType w:val="hybridMultilevel"/>
    <w:tmpl w:val="162C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15BA1"/>
    <w:multiLevelType w:val="hybridMultilevel"/>
    <w:tmpl w:val="196A3E7C"/>
    <w:lvl w:ilvl="0" w:tplc="99D63D02">
      <w:start w:val="1"/>
      <w:numFmt w:val="lowerRoman"/>
      <w:lvlText w:val="%1."/>
      <w:lvlJc w:val="left"/>
      <w:pPr>
        <w:ind w:left="936" w:hanging="360"/>
      </w:pPr>
      <w:rPr>
        <w:rFonts w:ascii="Arial" w:hAnsi="Arial" w:cs="Times New Roman" w:hint="default"/>
        <w:b/>
        <w:bCs/>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1F2EE96">
      <w:start w:val="1"/>
      <w:numFmt w:val="bullet"/>
      <w:lvlText w:val="·"/>
      <w:lvlJc w:val="left"/>
      <w:pPr>
        <w:ind w:left="1916" w:hanging="620"/>
      </w:pPr>
      <w:rPr>
        <w:rFonts w:ascii="Arial" w:eastAsiaTheme="majorEastAsia" w:hAnsi="Arial" w:cs="Arial"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543D5DA6"/>
    <w:multiLevelType w:val="hybridMultilevel"/>
    <w:tmpl w:val="72127A28"/>
    <w:lvl w:ilvl="0" w:tplc="58D441AE">
      <w:start w:val="1"/>
      <w:numFmt w:val="decimal"/>
      <w:lvlText w:val="(%1)"/>
      <w:lvlJc w:val="left"/>
      <w:pPr>
        <w:ind w:left="720" w:hanging="360"/>
      </w:pPr>
      <w:rPr>
        <w:rFonts w:hint="default"/>
      </w:rPr>
    </w:lvl>
    <w:lvl w:ilvl="1" w:tplc="AF2470B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D0BBA"/>
    <w:multiLevelType w:val="hybridMultilevel"/>
    <w:tmpl w:val="36BE6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AC46BD"/>
    <w:multiLevelType w:val="hybridMultilevel"/>
    <w:tmpl w:val="A5CC21FC"/>
    <w:lvl w:ilvl="0" w:tplc="77D83DA8">
      <w:start w:val="1"/>
      <w:numFmt w:val="upperLetter"/>
      <w:pStyle w:val="Heading2"/>
      <w:lvlText w:val="%1."/>
      <w:lvlJc w:val="left"/>
      <w:pPr>
        <w:ind w:left="360" w:hanging="360"/>
      </w:pPr>
      <w:rPr>
        <w:rFonts w:hint="default"/>
        <w:color w:val="632423" w:themeColor="accent2" w:themeShade="80"/>
        <w:sz w:val="24"/>
      </w:rPr>
    </w:lvl>
    <w:lvl w:ilvl="1" w:tplc="04090019">
      <w:start w:val="1"/>
      <w:numFmt w:val="lowerLetter"/>
      <w:lvlText w:val="%2."/>
      <w:lvlJc w:val="left"/>
      <w:pPr>
        <w:ind w:left="1080" w:hanging="360"/>
      </w:pPr>
    </w:lvl>
    <w:lvl w:ilvl="2" w:tplc="340C35BE">
      <w:start w:val="1"/>
      <w:numFmt w:val="decimal"/>
      <w:lvlText w:val="%3."/>
      <w:lvlJc w:val="left"/>
      <w:pPr>
        <w:ind w:left="2360" w:hanging="7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FC3262"/>
    <w:multiLevelType w:val="hybridMultilevel"/>
    <w:tmpl w:val="5236359C"/>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A75F2"/>
    <w:multiLevelType w:val="hybridMultilevel"/>
    <w:tmpl w:val="2B52624E"/>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590916">
    <w:abstractNumId w:val="6"/>
  </w:num>
  <w:num w:numId="2" w16cid:durableId="500388596">
    <w:abstractNumId w:val="18"/>
    <w:lvlOverride w:ilvl="0">
      <w:startOverride w:val="1"/>
    </w:lvlOverride>
  </w:num>
  <w:num w:numId="3" w16cid:durableId="1930650115">
    <w:abstractNumId w:val="2"/>
  </w:num>
  <w:num w:numId="4" w16cid:durableId="1159610828">
    <w:abstractNumId w:val="14"/>
  </w:num>
  <w:num w:numId="5" w16cid:durableId="798451494">
    <w:abstractNumId w:val="8"/>
  </w:num>
  <w:num w:numId="6" w16cid:durableId="536357276">
    <w:abstractNumId w:val="20"/>
  </w:num>
  <w:num w:numId="7" w16cid:durableId="1118331563">
    <w:abstractNumId w:val="18"/>
    <w:lvlOverride w:ilvl="0">
      <w:startOverride w:val="1"/>
    </w:lvlOverride>
  </w:num>
  <w:num w:numId="8" w16cid:durableId="1966620618">
    <w:abstractNumId w:val="19"/>
  </w:num>
  <w:num w:numId="9" w16cid:durableId="1843886038">
    <w:abstractNumId w:val="1"/>
  </w:num>
  <w:num w:numId="10" w16cid:durableId="193885561">
    <w:abstractNumId w:val="13"/>
  </w:num>
  <w:num w:numId="11" w16cid:durableId="1825972247">
    <w:abstractNumId w:val="3"/>
  </w:num>
  <w:num w:numId="12" w16cid:durableId="1540193959">
    <w:abstractNumId w:val="17"/>
  </w:num>
  <w:num w:numId="13" w16cid:durableId="1956979354">
    <w:abstractNumId w:val="10"/>
  </w:num>
  <w:num w:numId="14" w16cid:durableId="1897357296">
    <w:abstractNumId w:val="16"/>
  </w:num>
  <w:num w:numId="15" w16cid:durableId="1768770824">
    <w:abstractNumId w:val="18"/>
    <w:lvlOverride w:ilvl="0">
      <w:startOverride w:val="1"/>
    </w:lvlOverride>
  </w:num>
  <w:num w:numId="16" w16cid:durableId="1968119976">
    <w:abstractNumId w:val="18"/>
    <w:lvlOverride w:ilvl="0">
      <w:startOverride w:val="1"/>
    </w:lvlOverride>
  </w:num>
  <w:num w:numId="17" w16cid:durableId="470946763">
    <w:abstractNumId w:val="18"/>
    <w:lvlOverride w:ilvl="0">
      <w:startOverride w:val="1"/>
    </w:lvlOverride>
  </w:num>
  <w:num w:numId="18" w16cid:durableId="1474984525">
    <w:abstractNumId w:val="18"/>
    <w:lvlOverride w:ilvl="0">
      <w:startOverride w:val="1"/>
    </w:lvlOverride>
  </w:num>
  <w:num w:numId="19" w16cid:durableId="2023048691">
    <w:abstractNumId w:val="18"/>
    <w:lvlOverride w:ilvl="0">
      <w:startOverride w:val="1"/>
    </w:lvlOverride>
  </w:num>
  <w:num w:numId="20" w16cid:durableId="897863502">
    <w:abstractNumId w:val="18"/>
  </w:num>
  <w:num w:numId="21" w16cid:durableId="932712935">
    <w:abstractNumId w:val="18"/>
    <w:lvlOverride w:ilvl="0">
      <w:startOverride w:val="1"/>
    </w:lvlOverride>
  </w:num>
  <w:num w:numId="22" w16cid:durableId="1966497978">
    <w:abstractNumId w:val="18"/>
    <w:lvlOverride w:ilvl="0">
      <w:startOverride w:val="1"/>
    </w:lvlOverride>
  </w:num>
  <w:num w:numId="23" w16cid:durableId="1002390222">
    <w:abstractNumId w:val="18"/>
    <w:lvlOverride w:ilvl="0">
      <w:startOverride w:val="1"/>
    </w:lvlOverride>
  </w:num>
  <w:num w:numId="24" w16cid:durableId="2112554366">
    <w:abstractNumId w:val="18"/>
    <w:lvlOverride w:ilvl="0">
      <w:startOverride w:val="1"/>
    </w:lvlOverride>
  </w:num>
  <w:num w:numId="25" w16cid:durableId="1672484895">
    <w:abstractNumId w:val="18"/>
    <w:lvlOverride w:ilvl="0">
      <w:startOverride w:val="1"/>
    </w:lvlOverride>
  </w:num>
  <w:num w:numId="26" w16cid:durableId="1252548155">
    <w:abstractNumId w:val="18"/>
    <w:lvlOverride w:ilvl="0">
      <w:startOverride w:val="1"/>
    </w:lvlOverride>
  </w:num>
  <w:num w:numId="27" w16cid:durableId="1074083290">
    <w:abstractNumId w:val="4"/>
  </w:num>
  <w:num w:numId="28" w16cid:durableId="1789087426">
    <w:abstractNumId w:val="6"/>
    <w:lvlOverride w:ilvl="0">
      <w:startOverride w:val="1"/>
    </w:lvlOverride>
  </w:num>
  <w:num w:numId="29" w16cid:durableId="304166325">
    <w:abstractNumId w:val="6"/>
    <w:lvlOverride w:ilvl="0">
      <w:startOverride w:val="1"/>
    </w:lvlOverride>
  </w:num>
  <w:num w:numId="30" w16cid:durableId="1537040885">
    <w:abstractNumId w:val="15"/>
    <w:lvlOverride w:ilvl="0">
      <w:startOverride w:val="1"/>
    </w:lvlOverride>
  </w:num>
  <w:num w:numId="31" w16cid:durableId="2084990327">
    <w:abstractNumId w:val="15"/>
    <w:lvlOverride w:ilvl="0">
      <w:startOverride w:val="1"/>
    </w:lvlOverride>
  </w:num>
  <w:num w:numId="32" w16cid:durableId="741803796">
    <w:abstractNumId w:val="15"/>
    <w:lvlOverride w:ilvl="0">
      <w:startOverride w:val="1"/>
    </w:lvlOverride>
  </w:num>
  <w:num w:numId="33" w16cid:durableId="746876186">
    <w:abstractNumId w:val="0"/>
  </w:num>
  <w:num w:numId="34" w16cid:durableId="1732077444">
    <w:abstractNumId w:val="11"/>
  </w:num>
  <w:num w:numId="35" w16cid:durableId="344862393">
    <w:abstractNumId w:val="15"/>
    <w:lvlOverride w:ilvl="0">
      <w:startOverride w:val="1"/>
    </w:lvlOverride>
  </w:num>
  <w:num w:numId="36" w16cid:durableId="1466696525">
    <w:abstractNumId w:val="15"/>
    <w:lvlOverride w:ilvl="0">
      <w:startOverride w:val="1"/>
    </w:lvlOverride>
  </w:num>
  <w:num w:numId="37" w16cid:durableId="288048375">
    <w:abstractNumId w:val="15"/>
    <w:lvlOverride w:ilvl="0">
      <w:startOverride w:val="1"/>
    </w:lvlOverride>
  </w:num>
  <w:num w:numId="38" w16cid:durableId="1522475621">
    <w:abstractNumId w:val="15"/>
    <w:lvlOverride w:ilvl="0">
      <w:startOverride w:val="1"/>
    </w:lvlOverride>
  </w:num>
  <w:num w:numId="39" w16cid:durableId="392430878">
    <w:abstractNumId w:val="7"/>
  </w:num>
  <w:num w:numId="40" w16cid:durableId="1091704863">
    <w:abstractNumId w:val="7"/>
    <w:lvlOverride w:ilvl="0">
      <w:startOverride w:val="1"/>
    </w:lvlOverride>
  </w:num>
  <w:num w:numId="41" w16cid:durableId="1724213386">
    <w:abstractNumId w:val="7"/>
    <w:lvlOverride w:ilvl="0">
      <w:startOverride w:val="1"/>
    </w:lvlOverride>
  </w:num>
  <w:num w:numId="42" w16cid:durableId="1656949907">
    <w:abstractNumId w:val="7"/>
    <w:lvlOverride w:ilvl="0">
      <w:startOverride w:val="1"/>
    </w:lvlOverride>
  </w:num>
  <w:num w:numId="43" w16cid:durableId="1802768919">
    <w:abstractNumId w:val="7"/>
    <w:lvlOverride w:ilvl="0">
      <w:startOverride w:val="1"/>
    </w:lvlOverride>
  </w:num>
  <w:num w:numId="44" w16cid:durableId="1040130176">
    <w:abstractNumId w:val="7"/>
    <w:lvlOverride w:ilvl="0">
      <w:startOverride w:val="1"/>
    </w:lvlOverride>
  </w:num>
  <w:num w:numId="45" w16cid:durableId="2126265905">
    <w:abstractNumId w:val="7"/>
    <w:lvlOverride w:ilvl="0">
      <w:startOverride w:val="1"/>
    </w:lvlOverride>
  </w:num>
  <w:num w:numId="46" w16cid:durableId="1092354277">
    <w:abstractNumId w:val="18"/>
    <w:lvlOverride w:ilvl="0">
      <w:startOverride w:val="1"/>
    </w:lvlOverride>
  </w:num>
  <w:num w:numId="47" w16cid:durableId="1044409488">
    <w:abstractNumId w:val="18"/>
    <w:lvlOverride w:ilvl="0">
      <w:startOverride w:val="1"/>
    </w:lvlOverride>
  </w:num>
  <w:num w:numId="48" w16cid:durableId="1263951671">
    <w:abstractNumId w:val="9"/>
  </w:num>
  <w:num w:numId="49" w16cid:durableId="1227300314">
    <w:abstractNumId w:val="7"/>
    <w:lvlOverride w:ilvl="0">
      <w:startOverride w:val="1"/>
    </w:lvlOverride>
  </w:num>
  <w:num w:numId="50" w16cid:durableId="1962489176">
    <w:abstractNumId w:val="7"/>
    <w:lvlOverride w:ilvl="0">
      <w:startOverride w:val="1"/>
    </w:lvlOverride>
  </w:num>
  <w:num w:numId="51" w16cid:durableId="1624463077">
    <w:abstractNumId w:val="7"/>
    <w:lvlOverride w:ilvl="0">
      <w:startOverride w:val="1"/>
    </w:lvlOverride>
  </w:num>
  <w:num w:numId="52" w16cid:durableId="801924827">
    <w:abstractNumId w:val="7"/>
    <w:lvlOverride w:ilvl="0">
      <w:startOverride w:val="1"/>
    </w:lvlOverride>
  </w:num>
  <w:num w:numId="53" w16cid:durableId="992953406">
    <w:abstractNumId w:val="12"/>
  </w:num>
  <w:num w:numId="54" w16cid:durableId="1440758600">
    <w:abstractNumId w:val="7"/>
    <w:lvlOverride w:ilvl="0">
      <w:startOverride w:val="1"/>
    </w:lvlOverride>
  </w:num>
  <w:num w:numId="55" w16cid:durableId="157695243">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4D"/>
    <w:rsid w:val="00004C63"/>
    <w:rsid w:val="0001390B"/>
    <w:rsid w:val="00013C11"/>
    <w:rsid w:val="0001586C"/>
    <w:rsid w:val="00024509"/>
    <w:rsid w:val="0002733A"/>
    <w:rsid w:val="00032A2D"/>
    <w:rsid w:val="000333D5"/>
    <w:rsid w:val="00033AD2"/>
    <w:rsid w:val="000410A6"/>
    <w:rsid w:val="000447C3"/>
    <w:rsid w:val="00063B39"/>
    <w:rsid w:val="00066656"/>
    <w:rsid w:val="00071EFE"/>
    <w:rsid w:val="000744B6"/>
    <w:rsid w:val="00085DF5"/>
    <w:rsid w:val="00092FD7"/>
    <w:rsid w:val="00094BC3"/>
    <w:rsid w:val="00097034"/>
    <w:rsid w:val="000A6C44"/>
    <w:rsid w:val="000B4204"/>
    <w:rsid w:val="000B4DFC"/>
    <w:rsid w:val="000C6195"/>
    <w:rsid w:val="000C7473"/>
    <w:rsid w:val="000D1271"/>
    <w:rsid w:val="000D4B64"/>
    <w:rsid w:val="000D6F8D"/>
    <w:rsid w:val="000D7181"/>
    <w:rsid w:val="000D7C6D"/>
    <w:rsid w:val="000E487F"/>
    <w:rsid w:val="000E4EB9"/>
    <w:rsid w:val="00100981"/>
    <w:rsid w:val="00101C28"/>
    <w:rsid w:val="001047AE"/>
    <w:rsid w:val="00110393"/>
    <w:rsid w:val="00110BA2"/>
    <w:rsid w:val="00114A2F"/>
    <w:rsid w:val="00121CF4"/>
    <w:rsid w:val="00122312"/>
    <w:rsid w:val="00123AB9"/>
    <w:rsid w:val="00131066"/>
    <w:rsid w:val="001329EC"/>
    <w:rsid w:val="001407F6"/>
    <w:rsid w:val="001447B0"/>
    <w:rsid w:val="00147A86"/>
    <w:rsid w:val="00152BFB"/>
    <w:rsid w:val="0016087B"/>
    <w:rsid w:val="0016123A"/>
    <w:rsid w:val="00164EC3"/>
    <w:rsid w:val="00170526"/>
    <w:rsid w:val="00174F5F"/>
    <w:rsid w:val="00175886"/>
    <w:rsid w:val="00176E81"/>
    <w:rsid w:val="00181A7E"/>
    <w:rsid w:val="001837DF"/>
    <w:rsid w:val="0018485E"/>
    <w:rsid w:val="00184AA0"/>
    <w:rsid w:val="0019615C"/>
    <w:rsid w:val="001B0BA4"/>
    <w:rsid w:val="001B27EB"/>
    <w:rsid w:val="001B3304"/>
    <w:rsid w:val="001B38BA"/>
    <w:rsid w:val="001D456A"/>
    <w:rsid w:val="001E0589"/>
    <w:rsid w:val="001E2058"/>
    <w:rsid w:val="001F6E2A"/>
    <w:rsid w:val="0020018C"/>
    <w:rsid w:val="0020103C"/>
    <w:rsid w:val="00202C23"/>
    <w:rsid w:val="00204957"/>
    <w:rsid w:val="002127E3"/>
    <w:rsid w:val="00220609"/>
    <w:rsid w:val="002208A4"/>
    <w:rsid w:val="00225CAA"/>
    <w:rsid w:val="00226C91"/>
    <w:rsid w:val="00233D40"/>
    <w:rsid w:val="00233FBD"/>
    <w:rsid w:val="00240850"/>
    <w:rsid w:val="00242242"/>
    <w:rsid w:val="002448E7"/>
    <w:rsid w:val="002478A7"/>
    <w:rsid w:val="0025091D"/>
    <w:rsid w:val="00257373"/>
    <w:rsid w:val="00263A25"/>
    <w:rsid w:val="0028751B"/>
    <w:rsid w:val="00290365"/>
    <w:rsid w:val="00297114"/>
    <w:rsid w:val="002A0ADA"/>
    <w:rsid w:val="002A1C79"/>
    <w:rsid w:val="002A2B17"/>
    <w:rsid w:val="002A76D7"/>
    <w:rsid w:val="002B00B8"/>
    <w:rsid w:val="002B1535"/>
    <w:rsid w:val="002B2DF6"/>
    <w:rsid w:val="002B4F94"/>
    <w:rsid w:val="002B7EB2"/>
    <w:rsid w:val="002C0184"/>
    <w:rsid w:val="002C5289"/>
    <w:rsid w:val="002D16B7"/>
    <w:rsid w:val="002D185D"/>
    <w:rsid w:val="002D6263"/>
    <w:rsid w:val="002E047E"/>
    <w:rsid w:val="002E30E8"/>
    <w:rsid w:val="002E496F"/>
    <w:rsid w:val="002E497A"/>
    <w:rsid w:val="002E6F06"/>
    <w:rsid w:val="002F796E"/>
    <w:rsid w:val="002F7F55"/>
    <w:rsid w:val="003024C7"/>
    <w:rsid w:val="00321476"/>
    <w:rsid w:val="00323B52"/>
    <w:rsid w:val="00324723"/>
    <w:rsid w:val="00335F6F"/>
    <w:rsid w:val="00344479"/>
    <w:rsid w:val="003535AC"/>
    <w:rsid w:val="00362146"/>
    <w:rsid w:val="003621BE"/>
    <w:rsid w:val="003655CE"/>
    <w:rsid w:val="00365CB6"/>
    <w:rsid w:val="00367B4F"/>
    <w:rsid w:val="003769F6"/>
    <w:rsid w:val="00381EAE"/>
    <w:rsid w:val="00382FFB"/>
    <w:rsid w:val="003872EA"/>
    <w:rsid w:val="00396375"/>
    <w:rsid w:val="003969B3"/>
    <w:rsid w:val="003A03D0"/>
    <w:rsid w:val="003A2C55"/>
    <w:rsid w:val="003A3542"/>
    <w:rsid w:val="003A5469"/>
    <w:rsid w:val="003B6F1D"/>
    <w:rsid w:val="003B75E3"/>
    <w:rsid w:val="003C74DB"/>
    <w:rsid w:val="003D18C5"/>
    <w:rsid w:val="003D26B1"/>
    <w:rsid w:val="003D4CAC"/>
    <w:rsid w:val="003E1305"/>
    <w:rsid w:val="003E135E"/>
    <w:rsid w:val="003E1822"/>
    <w:rsid w:val="003F00F2"/>
    <w:rsid w:val="003F0110"/>
    <w:rsid w:val="003F4498"/>
    <w:rsid w:val="003F5E90"/>
    <w:rsid w:val="004016D0"/>
    <w:rsid w:val="004020E4"/>
    <w:rsid w:val="004027D4"/>
    <w:rsid w:val="00402F5E"/>
    <w:rsid w:val="004048BB"/>
    <w:rsid w:val="00405082"/>
    <w:rsid w:val="00427E0E"/>
    <w:rsid w:val="004358F8"/>
    <w:rsid w:val="00441866"/>
    <w:rsid w:val="00441E54"/>
    <w:rsid w:val="00445A63"/>
    <w:rsid w:val="004501DA"/>
    <w:rsid w:val="00456599"/>
    <w:rsid w:val="00457CBD"/>
    <w:rsid w:val="004620AB"/>
    <w:rsid w:val="00462DC0"/>
    <w:rsid w:val="00485102"/>
    <w:rsid w:val="00485B88"/>
    <w:rsid w:val="004919C7"/>
    <w:rsid w:val="00496A52"/>
    <w:rsid w:val="004975E9"/>
    <w:rsid w:val="004A1DAF"/>
    <w:rsid w:val="004A4D10"/>
    <w:rsid w:val="004A7B41"/>
    <w:rsid w:val="004A7C71"/>
    <w:rsid w:val="004B0B05"/>
    <w:rsid w:val="004B68B1"/>
    <w:rsid w:val="004C09FD"/>
    <w:rsid w:val="004C0EE0"/>
    <w:rsid w:val="004C4542"/>
    <w:rsid w:val="004C53E0"/>
    <w:rsid w:val="004E3F0E"/>
    <w:rsid w:val="004E6169"/>
    <w:rsid w:val="004E7D87"/>
    <w:rsid w:val="004F32D4"/>
    <w:rsid w:val="004F53B2"/>
    <w:rsid w:val="004F5ADA"/>
    <w:rsid w:val="004F78DF"/>
    <w:rsid w:val="00503A44"/>
    <w:rsid w:val="00505CD1"/>
    <w:rsid w:val="005067E6"/>
    <w:rsid w:val="0051163B"/>
    <w:rsid w:val="00520C70"/>
    <w:rsid w:val="005210E1"/>
    <w:rsid w:val="00523F86"/>
    <w:rsid w:val="00524867"/>
    <w:rsid w:val="00526873"/>
    <w:rsid w:val="00530B75"/>
    <w:rsid w:val="005360B9"/>
    <w:rsid w:val="005412D8"/>
    <w:rsid w:val="00543080"/>
    <w:rsid w:val="00544E34"/>
    <w:rsid w:val="00547A26"/>
    <w:rsid w:val="00553060"/>
    <w:rsid w:val="00553BBF"/>
    <w:rsid w:val="00561663"/>
    <w:rsid w:val="005647C7"/>
    <w:rsid w:val="00566C01"/>
    <w:rsid w:val="00570C4F"/>
    <w:rsid w:val="0057157D"/>
    <w:rsid w:val="005731A8"/>
    <w:rsid w:val="0059748A"/>
    <w:rsid w:val="005A1F79"/>
    <w:rsid w:val="005A7177"/>
    <w:rsid w:val="005B222A"/>
    <w:rsid w:val="005B4D85"/>
    <w:rsid w:val="005B6568"/>
    <w:rsid w:val="005C023D"/>
    <w:rsid w:val="005C0C48"/>
    <w:rsid w:val="005C10BC"/>
    <w:rsid w:val="005D30D9"/>
    <w:rsid w:val="005E0EDE"/>
    <w:rsid w:val="005E5292"/>
    <w:rsid w:val="005F3D36"/>
    <w:rsid w:val="005F400F"/>
    <w:rsid w:val="005F4135"/>
    <w:rsid w:val="00611C7E"/>
    <w:rsid w:val="00621728"/>
    <w:rsid w:val="00621FBD"/>
    <w:rsid w:val="00621FDB"/>
    <w:rsid w:val="00626651"/>
    <w:rsid w:val="006278CF"/>
    <w:rsid w:val="00640C14"/>
    <w:rsid w:val="0064499A"/>
    <w:rsid w:val="00644B7F"/>
    <w:rsid w:val="00645CAF"/>
    <w:rsid w:val="0065580C"/>
    <w:rsid w:val="00673F73"/>
    <w:rsid w:val="00676EAC"/>
    <w:rsid w:val="0068345B"/>
    <w:rsid w:val="00690A3E"/>
    <w:rsid w:val="00691D1A"/>
    <w:rsid w:val="00693544"/>
    <w:rsid w:val="006960D3"/>
    <w:rsid w:val="006976D2"/>
    <w:rsid w:val="006A5A3B"/>
    <w:rsid w:val="006B09AF"/>
    <w:rsid w:val="006B459C"/>
    <w:rsid w:val="006B4A57"/>
    <w:rsid w:val="006C4B25"/>
    <w:rsid w:val="006D2493"/>
    <w:rsid w:val="006D37D9"/>
    <w:rsid w:val="006D49B7"/>
    <w:rsid w:val="006E0FE5"/>
    <w:rsid w:val="006E1497"/>
    <w:rsid w:val="006E24A8"/>
    <w:rsid w:val="006E5F69"/>
    <w:rsid w:val="006E6186"/>
    <w:rsid w:val="00706B77"/>
    <w:rsid w:val="00715A24"/>
    <w:rsid w:val="00720440"/>
    <w:rsid w:val="00723B63"/>
    <w:rsid w:val="00744D93"/>
    <w:rsid w:val="007516FB"/>
    <w:rsid w:val="00753447"/>
    <w:rsid w:val="007551FC"/>
    <w:rsid w:val="007574E1"/>
    <w:rsid w:val="0076774B"/>
    <w:rsid w:val="007700FD"/>
    <w:rsid w:val="00770EAC"/>
    <w:rsid w:val="00777315"/>
    <w:rsid w:val="00786083"/>
    <w:rsid w:val="0079458B"/>
    <w:rsid w:val="007979EE"/>
    <w:rsid w:val="007A7F64"/>
    <w:rsid w:val="007B0B3A"/>
    <w:rsid w:val="007B29CA"/>
    <w:rsid w:val="007B2DED"/>
    <w:rsid w:val="007B4593"/>
    <w:rsid w:val="007C3012"/>
    <w:rsid w:val="007D0B7E"/>
    <w:rsid w:val="007D3028"/>
    <w:rsid w:val="007D4474"/>
    <w:rsid w:val="007D46E7"/>
    <w:rsid w:val="007D4B4E"/>
    <w:rsid w:val="007D6E00"/>
    <w:rsid w:val="007E4274"/>
    <w:rsid w:val="007E7DE9"/>
    <w:rsid w:val="007F6036"/>
    <w:rsid w:val="007F769D"/>
    <w:rsid w:val="00800153"/>
    <w:rsid w:val="00806C46"/>
    <w:rsid w:val="008075A6"/>
    <w:rsid w:val="00813993"/>
    <w:rsid w:val="0081420D"/>
    <w:rsid w:val="0082048F"/>
    <w:rsid w:val="0083033C"/>
    <w:rsid w:val="008357DE"/>
    <w:rsid w:val="00841024"/>
    <w:rsid w:val="0084290D"/>
    <w:rsid w:val="0084313B"/>
    <w:rsid w:val="00843EB0"/>
    <w:rsid w:val="00847AB8"/>
    <w:rsid w:val="0085084A"/>
    <w:rsid w:val="00851643"/>
    <w:rsid w:val="008520CE"/>
    <w:rsid w:val="008537AE"/>
    <w:rsid w:val="00855239"/>
    <w:rsid w:val="0085578C"/>
    <w:rsid w:val="00855D2D"/>
    <w:rsid w:val="008714A6"/>
    <w:rsid w:val="008744BA"/>
    <w:rsid w:val="00880BC0"/>
    <w:rsid w:val="00894217"/>
    <w:rsid w:val="00897C5A"/>
    <w:rsid w:val="008A33DB"/>
    <w:rsid w:val="008A7BF1"/>
    <w:rsid w:val="008B3ABF"/>
    <w:rsid w:val="008B4B59"/>
    <w:rsid w:val="008B4FBF"/>
    <w:rsid w:val="008C06FB"/>
    <w:rsid w:val="008C0BD7"/>
    <w:rsid w:val="008C2FE7"/>
    <w:rsid w:val="008E3177"/>
    <w:rsid w:val="008F53E0"/>
    <w:rsid w:val="00901738"/>
    <w:rsid w:val="009025AB"/>
    <w:rsid w:val="009029F8"/>
    <w:rsid w:val="0090344B"/>
    <w:rsid w:val="0091055F"/>
    <w:rsid w:val="0091354F"/>
    <w:rsid w:val="00917E80"/>
    <w:rsid w:val="0092199C"/>
    <w:rsid w:val="009225F3"/>
    <w:rsid w:val="009228C9"/>
    <w:rsid w:val="00925156"/>
    <w:rsid w:val="009364EC"/>
    <w:rsid w:val="009426C7"/>
    <w:rsid w:val="0094632E"/>
    <w:rsid w:val="009479EB"/>
    <w:rsid w:val="009502B5"/>
    <w:rsid w:val="00953E83"/>
    <w:rsid w:val="00960911"/>
    <w:rsid w:val="009622A0"/>
    <w:rsid w:val="0096791A"/>
    <w:rsid w:val="009701A3"/>
    <w:rsid w:val="00986A63"/>
    <w:rsid w:val="009913AC"/>
    <w:rsid w:val="00991EB7"/>
    <w:rsid w:val="009C01C4"/>
    <w:rsid w:val="009C17D4"/>
    <w:rsid w:val="009C3D9D"/>
    <w:rsid w:val="009C4689"/>
    <w:rsid w:val="009C5FF9"/>
    <w:rsid w:val="009D16CF"/>
    <w:rsid w:val="009D1BDB"/>
    <w:rsid w:val="009E1811"/>
    <w:rsid w:val="009E2ECD"/>
    <w:rsid w:val="009E3AD0"/>
    <w:rsid w:val="009E49CA"/>
    <w:rsid w:val="009E55A8"/>
    <w:rsid w:val="009F2306"/>
    <w:rsid w:val="009F6654"/>
    <w:rsid w:val="00A00B36"/>
    <w:rsid w:val="00A04930"/>
    <w:rsid w:val="00A13F01"/>
    <w:rsid w:val="00A2056C"/>
    <w:rsid w:val="00A2511E"/>
    <w:rsid w:val="00A3441A"/>
    <w:rsid w:val="00A37137"/>
    <w:rsid w:val="00A40F69"/>
    <w:rsid w:val="00A530F8"/>
    <w:rsid w:val="00A532D2"/>
    <w:rsid w:val="00A54F5C"/>
    <w:rsid w:val="00A62F91"/>
    <w:rsid w:val="00A74D59"/>
    <w:rsid w:val="00A75335"/>
    <w:rsid w:val="00A86DAD"/>
    <w:rsid w:val="00A97DEE"/>
    <w:rsid w:val="00AA6396"/>
    <w:rsid w:val="00AA641D"/>
    <w:rsid w:val="00AB1856"/>
    <w:rsid w:val="00AB6C50"/>
    <w:rsid w:val="00AB6E31"/>
    <w:rsid w:val="00AC1C19"/>
    <w:rsid w:val="00AC61AF"/>
    <w:rsid w:val="00AD27B4"/>
    <w:rsid w:val="00AE0568"/>
    <w:rsid w:val="00AE2A38"/>
    <w:rsid w:val="00AE59D9"/>
    <w:rsid w:val="00AE6369"/>
    <w:rsid w:val="00AF3234"/>
    <w:rsid w:val="00B05035"/>
    <w:rsid w:val="00B10424"/>
    <w:rsid w:val="00B11ED7"/>
    <w:rsid w:val="00B1220F"/>
    <w:rsid w:val="00B1578C"/>
    <w:rsid w:val="00B20E69"/>
    <w:rsid w:val="00B214C9"/>
    <w:rsid w:val="00B30E82"/>
    <w:rsid w:val="00B35A88"/>
    <w:rsid w:val="00B37489"/>
    <w:rsid w:val="00B41B55"/>
    <w:rsid w:val="00B463E9"/>
    <w:rsid w:val="00B46A2C"/>
    <w:rsid w:val="00B473CC"/>
    <w:rsid w:val="00B71BBE"/>
    <w:rsid w:val="00B72B75"/>
    <w:rsid w:val="00B8019E"/>
    <w:rsid w:val="00B802E8"/>
    <w:rsid w:val="00B81805"/>
    <w:rsid w:val="00B82300"/>
    <w:rsid w:val="00B82DCB"/>
    <w:rsid w:val="00B94A39"/>
    <w:rsid w:val="00B97C3B"/>
    <w:rsid w:val="00BA1CE3"/>
    <w:rsid w:val="00BA60B0"/>
    <w:rsid w:val="00BA6784"/>
    <w:rsid w:val="00BA7349"/>
    <w:rsid w:val="00BB124D"/>
    <w:rsid w:val="00BB192C"/>
    <w:rsid w:val="00BC4E40"/>
    <w:rsid w:val="00BC7966"/>
    <w:rsid w:val="00BD1783"/>
    <w:rsid w:val="00BD2F7A"/>
    <w:rsid w:val="00BE0BEE"/>
    <w:rsid w:val="00BE3F84"/>
    <w:rsid w:val="00BE4E1B"/>
    <w:rsid w:val="00BE5A86"/>
    <w:rsid w:val="00BE7B7F"/>
    <w:rsid w:val="00BF50AD"/>
    <w:rsid w:val="00C004AA"/>
    <w:rsid w:val="00C006F6"/>
    <w:rsid w:val="00C04EFF"/>
    <w:rsid w:val="00C07CD4"/>
    <w:rsid w:val="00C1211B"/>
    <w:rsid w:val="00C14209"/>
    <w:rsid w:val="00C169FE"/>
    <w:rsid w:val="00C1722A"/>
    <w:rsid w:val="00C24AFD"/>
    <w:rsid w:val="00C30854"/>
    <w:rsid w:val="00C34D45"/>
    <w:rsid w:val="00C362C4"/>
    <w:rsid w:val="00C37A8D"/>
    <w:rsid w:val="00C44023"/>
    <w:rsid w:val="00C5161F"/>
    <w:rsid w:val="00C53F85"/>
    <w:rsid w:val="00C56330"/>
    <w:rsid w:val="00C575A5"/>
    <w:rsid w:val="00C6493F"/>
    <w:rsid w:val="00C66C50"/>
    <w:rsid w:val="00C73795"/>
    <w:rsid w:val="00C73905"/>
    <w:rsid w:val="00C75513"/>
    <w:rsid w:val="00C765DB"/>
    <w:rsid w:val="00C80B28"/>
    <w:rsid w:val="00C84E7E"/>
    <w:rsid w:val="00C87CD9"/>
    <w:rsid w:val="00C9185E"/>
    <w:rsid w:val="00C941E2"/>
    <w:rsid w:val="00C95D71"/>
    <w:rsid w:val="00C97E14"/>
    <w:rsid w:val="00CA0B88"/>
    <w:rsid w:val="00CA0F2F"/>
    <w:rsid w:val="00CA123F"/>
    <w:rsid w:val="00CA4503"/>
    <w:rsid w:val="00CA56CC"/>
    <w:rsid w:val="00CB40A1"/>
    <w:rsid w:val="00CB4199"/>
    <w:rsid w:val="00CB54FF"/>
    <w:rsid w:val="00CC186F"/>
    <w:rsid w:val="00CC73A9"/>
    <w:rsid w:val="00CD4130"/>
    <w:rsid w:val="00CE1CF1"/>
    <w:rsid w:val="00CE2A36"/>
    <w:rsid w:val="00CF0714"/>
    <w:rsid w:val="00CF1EEC"/>
    <w:rsid w:val="00CF47E1"/>
    <w:rsid w:val="00D061A9"/>
    <w:rsid w:val="00D10BDC"/>
    <w:rsid w:val="00D15C87"/>
    <w:rsid w:val="00D15EC4"/>
    <w:rsid w:val="00D16621"/>
    <w:rsid w:val="00D168B8"/>
    <w:rsid w:val="00D1695B"/>
    <w:rsid w:val="00D22068"/>
    <w:rsid w:val="00D22273"/>
    <w:rsid w:val="00D23B96"/>
    <w:rsid w:val="00D322DB"/>
    <w:rsid w:val="00D32589"/>
    <w:rsid w:val="00D32B99"/>
    <w:rsid w:val="00D34881"/>
    <w:rsid w:val="00D34FE4"/>
    <w:rsid w:val="00D41A50"/>
    <w:rsid w:val="00D4227C"/>
    <w:rsid w:val="00D45D14"/>
    <w:rsid w:val="00D55178"/>
    <w:rsid w:val="00D55222"/>
    <w:rsid w:val="00D55D3E"/>
    <w:rsid w:val="00D605DC"/>
    <w:rsid w:val="00D64656"/>
    <w:rsid w:val="00D66283"/>
    <w:rsid w:val="00D7407E"/>
    <w:rsid w:val="00D74217"/>
    <w:rsid w:val="00D75764"/>
    <w:rsid w:val="00D75A05"/>
    <w:rsid w:val="00D77D67"/>
    <w:rsid w:val="00D81026"/>
    <w:rsid w:val="00D843A3"/>
    <w:rsid w:val="00D956D0"/>
    <w:rsid w:val="00D97E6F"/>
    <w:rsid w:val="00DA4770"/>
    <w:rsid w:val="00DA66DA"/>
    <w:rsid w:val="00DA7CDF"/>
    <w:rsid w:val="00DB47F5"/>
    <w:rsid w:val="00DB4A12"/>
    <w:rsid w:val="00DB75D5"/>
    <w:rsid w:val="00DC0B8C"/>
    <w:rsid w:val="00DC2CCD"/>
    <w:rsid w:val="00DC3D63"/>
    <w:rsid w:val="00DC50E7"/>
    <w:rsid w:val="00DD4ED5"/>
    <w:rsid w:val="00DD52FC"/>
    <w:rsid w:val="00DD6403"/>
    <w:rsid w:val="00DE2DDC"/>
    <w:rsid w:val="00DE6C69"/>
    <w:rsid w:val="00DF01FE"/>
    <w:rsid w:val="00DF603F"/>
    <w:rsid w:val="00E0019F"/>
    <w:rsid w:val="00E06416"/>
    <w:rsid w:val="00E06E6E"/>
    <w:rsid w:val="00E1012C"/>
    <w:rsid w:val="00E21C60"/>
    <w:rsid w:val="00E240DA"/>
    <w:rsid w:val="00E245EC"/>
    <w:rsid w:val="00E31AE1"/>
    <w:rsid w:val="00E45D9E"/>
    <w:rsid w:val="00E47A57"/>
    <w:rsid w:val="00E54D5A"/>
    <w:rsid w:val="00E55000"/>
    <w:rsid w:val="00E56692"/>
    <w:rsid w:val="00E62EAD"/>
    <w:rsid w:val="00E63EC5"/>
    <w:rsid w:val="00E65E9A"/>
    <w:rsid w:val="00E77903"/>
    <w:rsid w:val="00E844D2"/>
    <w:rsid w:val="00E86FF9"/>
    <w:rsid w:val="00EA2739"/>
    <w:rsid w:val="00EA74C4"/>
    <w:rsid w:val="00EB251D"/>
    <w:rsid w:val="00EB51C2"/>
    <w:rsid w:val="00EC112D"/>
    <w:rsid w:val="00EC3BBC"/>
    <w:rsid w:val="00EC5688"/>
    <w:rsid w:val="00EC697D"/>
    <w:rsid w:val="00ED49A2"/>
    <w:rsid w:val="00EE2F2C"/>
    <w:rsid w:val="00EE3BF5"/>
    <w:rsid w:val="00EF5752"/>
    <w:rsid w:val="00EF6872"/>
    <w:rsid w:val="00EF773E"/>
    <w:rsid w:val="00F038B9"/>
    <w:rsid w:val="00F07FE1"/>
    <w:rsid w:val="00F31B30"/>
    <w:rsid w:val="00F37756"/>
    <w:rsid w:val="00F406E9"/>
    <w:rsid w:val="00F40832"/>
    <w:rsid w:val="00F43418"/>
    <w:rsid w:val="00F45FA7"/>
    <w:rsid w:val="00F5158A"/>
    <w:rsid w:val="00F57EC4"/>
    <w:rsid w:val="00F60DB4"/>
    <w:rsid w:val="00F63619"/>
    <w:rsid w:val="00F677ED"/>
    <w:rsid w:val="00F74470"/>
    <w:rsid w:val="00F74C1A"/>
    <w:rsid w:val="00F75197"/>
    <w:rsid w:val="00F82F8C"/>
    <w:rsid w:val="00F82FAE"/>
    <w:rsid w:val="00F91442"/>
    <w:rsid w:val="00F923AB"/>
    <w:rsid w:val="00F92C4F"/>
    <w:rsid w:val="00F92D6B"/>
    <w:rsid w:val="00F96EE2"/>
    <w:rsid w:val="00F97F26"/>
    <w:rsid w:val="00FA0C84"/>
    <w:rsid w:val="00FA1866"/>
    <w:rsid w:val="00FA698C"/>
    <w:rsid w:val="00FB394D"/>
    <w:rsid w:val="00FB4FF7"/>
    <w:rsid w:val="00FB5F70"/>
    <w:rsid w:val="00FB5FF5"/>
    <w:rsid w:val="00FC31FE"/>
    <w:rsid w:val="00FD09A4"/>
    <w:rsid w:val="00FD148F"/>
    <w:rsid w:val="00FD2212"/>
    <w:rsid w:val="00FE0B84"/>
    <w:rsid w:val="00FE22E7"/>
    <w:rsid w:val="00FF06EE"/>
    <w:rsid w:val="00FF6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8C69C"/>
  <w14:defaultImageDpi w14:val="300"/>
  <w15:docId w15:val="{1D3D27C6-161C-A041-B929-C00D4516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D9"/>
    <w:pPr>
      <w:spacing w:after="0" w:line="240" w:lineRule="auto"/>
    </w:pPr>
    <w:rPr>
      <w:rFonts w:ascii="Times New Roman" w:eastAsia="Times New Roman" w:hAnsi="Times New Roman" w:cs="Times New Roman"/>
      <w:sz w:val="24"/>
      <w:szCs w:val="24"/>
      <w:lang w:val="en-CA"/>
    </w:rPr>
  </w:style>
  <w:style w:type="paragraph" w:styleId="Heading1">
    <w:name w:val="heading 1"/>
    <w:aliases w:val="MS Heading 1"/>
    <w:basedOn w:val="Normal"/>
    <w:next w:val="Normal"/>
    <w:link w:val="Heading1Char"/>
    <w:autoRedefine/>
    <w:uiPriority w:val="9"/>
    <w:qFormat/>
    <w:rsid w:val="00457CBD"/>
    <w:pPr>
      <w:pBdr>
        <w:top w:val="thinThickSmallGap" w:sz="12" w:space="8" w:color="943634" w:themeColor="accent2" w:themeShade="BF"/>
        <w:bottom w:val="thinThickSmallGap" w:sz="12" w:space="8" w:color="943634" w:themeColor="accent2" w:themeShade="BF"/>
      </w:pBdr>
      <w:shd w:val="clear" w:color="auto" w:fill="E0E0E0"/>
      <w:spacing w:before="400" w:after="200"/>
      <w:jc w:val="center"/>
      <w:outlineLvl w:val="0"/>
    </w:pPr>
    <w:rPr>
      <w:b/>
      <w:caps/>
      <w:color w:val="632423" w:themeColor="accent2" w:themeShade="80"/>
      <w:sz w:val="28"/>
      <w:szCs w:val="28"/>
    </w:rPr>
  </w:style>
  <w:style w:type="paragraph" w:styleId="Heading2">
    <w:name w:val="heading 2"/>
    <w:aliases w:val="MS Heading 2"/>
    <w:basedOn w:val="Normal"/>
    <w:next w:val="Normal"/>
    <w:link w:val="Heading2Char"/>
    <w:uiPriority w:val="9"/>
    <w:unhideWhenUsed/>
    <w:qFormat/>
    <w:rsid w:val="001447B0"/>
    <w:pPr>
      <w:numPr>
        <w:numId w:val="20"/>
      </w:numPr>
      <w:pBdr>
        <w:top w:val="single" w:sz="4" w:space="4" w:color="622423" w:themeColor="accent2" w:themeShade="7F"/>
        <w:bottom w:val="single" w:sz="4" w:space="4" w:color="622423" w:themeColor="accent2" w:themeShade="7F"/>
      </w:pBdr>
      <w:spacing w:before="400" w:after="200"/>
      <w:outlineLvl w:val="1"/>
    </w:pPr>
    <w:rPr>
      <w:rFonts w:ascii="Arial" w:eastAsiaTheme="majorEastAsia" w:hAnsi="Arial" w:cs="Arial"/>
      <w:b/>
      <w:caps/>
      <w:color w:val="632423" w:themeColor="accent2" w:themeShade="80"/>
      <w:spacing w:val="15"/>
      <w:bdr w:val="none" w:sz="0" w:space="0" w:color="auto" w:frame="1"/>
      <w:lang w:val="en-US"/>
    </w:rPr>
  </w:style>
  <w:style w:type="paragraph" w:styleId="Heading3">
    <w:name w:val="heading 3"/>
    <w:aliases w:val="MS Heading 3"/>
    <w:basedOn w:val="ListParagraph"/>
    <w:link w:val="Heading3Char"/>
    <w:autoRedefine/>
    <w:uiPriority w:val="9"/>
    <w:unhideWhenUsed/>
    <w:qFormat/>
    <w:rsid w:val="004358F8"/>
    <w:pPr>
      <w:numPr>
        <w:numId w:val="39"/>
      </w:numPr>
      <w:pBdr>
        <w:top w:val="dotted" w:sz="4" w:space="3" w:color="622423" w:themeColor="accent2" w:themeShade="7F"/>
        <w:bottom w:val="dotted" w:sz="4" w:space="3" w:color="622423" w:themeColor="accent2" w:themeShade="7F"/>
      </w:pBdr>
      <w:spacing w:before="300"/>
      <w:outlineLvl w:val="2"/>
    </w:pPr>
    <w:rPr>
      <w:rFonts w:ascii="Arial" w:hAnsi="Arial" w:cs="Arial"/>
      <w:b/>
      <w:bCs/>
      <w:smallCaps/>
      <w:color w:val="632423" w:themeColor="accent2" w:themeShade="80"/>
      <w:sz w:val="24"/>
      <w:szCs w:val="24"/>
      <w:bdr w:val="none" w:sz="0" w:space="0" w:color="auto" w:frame="1"/>
    </w:rPr>
  </w:style>
  <w:style w:type="paragraph" w:styleId="Heading4">
    <w:name w:val="heading 4"/>
    <w:aliases w:val="MS Heading 4"/>
    <w:basedOn w:val="Normal"/>
    <w:next w:val="Normal"/>
    <w:link w:val="Heading4Char"/>
    <w:uiPriority w:val="9"/>
    <w:unhideWhenUsed/>
    <w:qFormat/>
    <w:rsid w:val="001447B0"/>
    <w:pPr>
      <w:numPr>
        <w:numId w:val="1"/>
      </w:numPr>
      <w:pBdr>
        <w:bottom w:val="dotted" w:sz="4" w:space="1" w:color="943634" w:themeColor="accent2" w:themeShade="BF"/>
      </w:pBdr>
      <w:spacing w:after="120" w:line="252" w:lineRule="auto"/>
      <w:outlineLvl w:val="3"/>
    </w:pPr>
    <w:rPr>
      <w:rFonts w:ascii="Arial" w:eastAsiaTheme="majorEastAsia" w:hAnsi="Arial" w:cstheme="majorBidi"/>
      <w:b/>
      <w:bCs/>
      <w:color w:val="943634" w:themeColor="accent2" w:themeShade="BF"/>
      <w:spacing w:val="10"/>
      <w:sz w:val="22"/>
      <w:szCs w:val="22"/>
      <w:lang w:val="en-US"/>
    </w:rPr>
  </w:style>
  <w:style w:type="paragraph" w:styleId="Heading5">
    <w:name w:val="heading 5"/>
    <w:basedOn w:val="Normal"/>
    <w:next w:val="Normal"/>
    <w:link w:val="Heading5Char"/>
    <w:uiPriority w:val="9"/>
    <w:unhideWhenUsed/>
    <w:qFormat/>
    <w:rsid w:val="00F677ED"/>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val="en-US"/>
    </w:rPr>
  </w:style>
  <w:style w:type="paragraph" w:styleId="Heading6">
    <w:name w:val="heading 6"/>
    <w:basedOn w:val="Normal"/>
    <w:next w:val="Normal"/>
    <w:link w:val="Heading6Char"/>
    <w:uiPriority w:val="9"/>
    <w:unhideWhenUsed/>
    <w:qFormat/>
    <w:rsid w:val="00F677ED"/>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val="en-US"/>
    </w:rPr>
  </w:style>
  <w:style w:type="paragraph" w:styleId="Heading7">
    <w:name w:val="heading 7"/>
    <w:basedOn w:val="Normal"/>
    <w:next w:val="Normal"/>
    <w:link w:val="Heading7Char"/>
    <w:uiPriority w:val="9"/>
    <w:semiHidden/>
    <w:unhideWhenUsed/>
    <w:qFormat/>
    <w:rsid w:val="00F677ED"/>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val="en-US"/>
    </w:rPr>
  </w:style>
  <w:style w:type="paragraph" w:styleId="Heading8">
    <w:name w:val="heading 8"/>
    <w:basedOn w:val="Normal"/>
    <w:next w:val="Normal"/>
    <w:link w:val="Heading8Char"/>
    <w:uiPriority w:val="9"/>
    <w:semiHidden/>
    <w:unhideWhenUsed/>
    <w:qFormat/>
    <w:rsid w:val="00F677ED"/>
    <w:pPr>
      <w:spacing w:after="120" w:line="252" w:lineRule="auto"/>
      <w:jc w:val="center"/>
      <w:outlineLvl w:val="7"/>
    </w:pPr>
    <w:rPr>
      <w:rFonts w:asciiTheme="majorHAnsi" w:eastAsiaTheme="majorEastAsia" w:hAnsiTheme="majorHAnsi" w:cstheme="majorBidi"/>
      <w:caps/>
      <w:spacing w:val="10"/>
      <w:sz w:val="20"/>
      <w:szCs w:val="20"/>
      <w:lang w:val="en-US"/>
    </w:rPr>
  </w:style>
  <w:style w:type="paragraph" w:styleId="Heading9">
    <w:name w:val="heading 9"/>
    <w:basedOn w:val="Normal"/>
    <w:next w:val="Normal"/>
    <w:link w:val="Heading9Char"/>
    <w:uiPriority w:val="9"/>
    <w:semiHidden/>
    <w:unhideWhenUsed/>
    <w:qFormat/>
    <w:rsid w:val="00F677ED"/>
    <w:pPr>
      <w:spacing w:after="120" w:line="252" w:lineRule="auto"/>
      <w:jc w:val="center"/>
      <w:outlineLvl w:val="8"/>
    </w:pPr>
    <w:rPr>
      <w:rFonts w:asciiTheme="majorHAnsi" w:eastAsiaTheme="majorEastAsia" w:hAnsiTheme="majorHAnsi" w:cstheme="majorBidi"/>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S Heading 2 Char"/>
    <w:basedOn w:val="DefaultParagraphFont"/>
    <w:link w:val="Heading2"/>
    <w:uiPriority w:val="9"/>
    <w:rsid w:val="001447B0"/>
    <w:rPr>
      <w:rFonts w:ascii="Arial" w:hAnsi="Arial" w:cs="Arial"/>
      <w:b/>
      <w:caps/>
      <w:color w:val="632423" w:themeColor="accent2" w:themeShade="80"/>
      <w:spacing w:val="15"/>
      <w:sz w:val="24"/>
      <w:szCs w:val="24"/>
      <w:bdr w:val="none" w:sz="0" w:space="0" w:color="auto" w:frame="1"/>
    </w:rPr>
  </w:style>
  <w:style w:type="character" w:customStyle="1" w:styleId="wixguard">
    <w:name w:val="wixguard"/>
    <w:basedOn w:val="DefaultParagraphFont"/>
    <w:rsid w:val="00FB394D"/>
  </w:style>
  <w:style w:type="character" w:styleId="Hyperlink">
    <w:name w:val="Hyperlink"/>
    <w:basedOn w:val="DefaultParagraphFont"/>
    <w:uiPriority w:val="99"/>
    <w:unhideWhenUsed/>
    <w:rsid w:val="00FB394D"/>
    <w:rPr>
      <w:color w:val="0000FF"/>
      <w:u w:val="single"/>
    </w:rPr>
  </w:style>
  <w:style w:type="paragraph" w:styleId="NoSpacing">
    <w:name w:val="No Spacing"/>
    <w:aliases w:val="MS Regular"/>
    <w:basedOn w:val="Normal"/>
    <w:link w:val="NoSpacingChar"/>
    <w:uiPriority w:val="1"/>
    <w:qFormat/>
    <w:rsid w:val="00503A44"/>
    <w:pPr>
      <w:spacing w:line="276" w:lineRule="auto"/>
      <w:jc w:val="both"/>
    </w:pPr>
    <w:rPr>
      <w:rFonts w:ascii="Arial" w:eastAsiaTheme="majorEastAsia" w:hAnsi="Arial" w:cs="Arial"/>
      <w:szCs w:val="22"/>
      <w:bdr w:val="none" w:sz="0" w:space="0" w:color="auto" w:frame="1"/>
      <w:lang w:val="en-US"/>
    </w:rPr>
  </w:style>
  <w:style w:type="character" w:customStyle="1" w:styleId="Heading1Char">
    <w:name w:val="Heading 1 Char"/>
    <w:aliases w:val="MS Heading 1 Char"/>
    <w:basedOn w:val="DefaultParagraphFont"/>
    <w:link w:val="Heading1"/>
    <w:uiPriority w:val="9"/>
    <w:rsid w:val="00457CBD"/>
    <w:rPr>
      <w:rFonts w:ascii="Times New Roman" w:eastAsia="Times New Roman" w:hAnsi="Times New Roman" w:cs="Times New Roman"/>
      <w:b/>
      <w:caps/>
      <w:color w:val="632423" w:themeColor="accent2" w:themeShade="80"/>
      <w:sz w:val="28"/>
      <w:szCs w:val="28"/>
      <w:shd w:val="clear" w:color="auto" w:fill="E0E0E0"/>
      <w:lang w:val="en-CA"/>
    </w:rPr>
  </w:style>
  <w:style w:type="paragraph" w:customStyle="1" w:styleId="font7">
    <w:name w:val="font_7"/>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paragraph" w:customStyle="1" w:styleId="font8">
    <w:name w:val="font_8"/>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paragraph" w:styleId="Title">
    <w:name w:val="Title"/>
    <w:basedOn w:val="Normal"/>
    <w:next w:val="Normal"/>
    <w:link w:val="TitleChar"/>
    <w:uiPriority w:val="10"/>
    <w:qFormat/>
    <w:rsid w:val="00F677ED"/>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rPr>
  </w:style>
  <w:style w:type="character" w:customStyle="1" w:styleId="TitleChar">
    <w:name w:val="Title Char"/>
    <w:basedOn w:val="DefaultParagraphFont"/>
    <w:link w:val="Title"/>
    <w:uiPriority w:val="10"/>
    <w:rsid w:val="00F677ED"/>
    <w:rPr>
      <w:caps/>
      <w:color w:val="632423" w:themeColor="accent2" w:themeShade="80"/>
      <w:spacing w:val="50"/>
      <w:sz w:val="44"/>
      <w:szCs w:val="44"/>
    </w:rPr>
  </w:style>
  <w:style w:type="character" w:customStyle="1" w:styleId="Heading3Char">
    <w:name w:val="Heading 3 Char"/>
    <w:aliases w:val="MS Heading 3 Char"/>
    <w:basedOn w:val="DefaultParagraphFont"/>
    <w:link w:val="Heading3"/>
    <w:uiPriority w:val="9"/>
    <w:rsid w:val="004358F8"/>
    <w:rPr>
      <w:rFonts w:ascii="Arial" w:hAnsi="Arial" w:cs="Arial"/>
      <w:b/>
      <w:bCs/>
      <w:smallCaps/>
      <w:color w:val="632423" w:themeColor="accent2" w:themeShade="80"/>
      <w:sz w:val="24"/>
      <w:szCs w:val="24"/>
      <w:bdr w:val="none" w:sz="0" w:space="0" w:color="auto" w:frame="1"/>
    </w:rPr>
  </w:style>
  <w:style w:type="character" w:customStyle="1" w:styleId="Heading4Char">
    <w:name w:val="Heading 4 Char"/>
    <w:aliases w:val="MS Heading 4 Char"/>
    <w:basedOn w:val="DefaultParagraphFont"/>
    <w:link w:val="Heading4"/>
    <w:uiPriority w:val="9"/>
    <w:rsid w:val="001447B0"/>
    <w:rPr>
      <w:rFonts w:ascii="Arial" w:hAnsi="Arial"/>
      <w:b/>
      <w:bCs/>
      <w:color w:val="943634" w:themeColor="accent2" w:themeShade="BF"/>
      <w:spacing w:val="10"/>
    </w:rPr>
  </w:style>
  <w:style w:type="paragraph" w:customStyle="1" w:styleId="aparanumbering">
    <w:name w:val="aparanumbering"/>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paragraph" w:customStyle="1" w:styleId="cquote">
    <w:name w:val="cquote"/>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character" w:styleId="Emphasis">
    <w:name w:val="Emphasis"/>
    <w:uiPriority w:val="20"/>
    <w:qFormat/>
    <w:rsid w:val="00F677ED"/>
    <w:rPr>
      <w:caps/>
      <w:spacing w:val="5"/>
      <w:sz w:val="20"/>
      <w:szCs w:val="20"/>
    </w:rPr>
  </w:style>
  <w:style w:type="character" w:customStyle="1" w:styleId="color15">
    <w:name w:val="color_15"/>
    <w:basedOn w:val="DefaultParagraphFont"/>
    <w:rsid w:val="0020018C"/>
  </w:style>
  <w:style w:type="paragraph" w:styleId="NormalWeb">
    <w:name w:val="Normal (Web)"/>
    <w:basedOn w:val="Normal"/>
    <w:uiPriority w:val="99"/>
    <w:semiHidden/>
    <w:unhideWhenUsed/>
    <w:rsid w:val="0020018C"/>
    <w:pPr>
      <w:spacing w:before="100" w:beforeAutospacing="1" w:after="100" w:afterAutospacing="1" w:line="252" w:lineRule="auto"/>
    </w:pPr>
    <w:rPr>
      <w:rFonts w:ascii="Times" w:eastAsiaTheme="majorEastAsia" w:hAnsi="Times"/>
      <w:sz w:val="20"/>
      <w:szCs w:val="20"/>
      <w:lang w:val="en-US"/>
    </w:rPr>
  </w:style>
  <w:style w:type="paragraph" w:styleId="ListParagraph">
    <w:name w:val="List Paragraph"/>
    <w:basedOn w:val="Normal"/>
    <w:uiPriority w:val="34"/>
    <w:qFormat/>
    <w:rsid w:val="00F677ED"/>
    <w:pPr>
      <w:spacing w:after="200" w:line="252" w:lineRule="auto"/>
      <w:ind w:left="720"/>
      <w:contextualSpacing/>
    </w:pPr>
    <w:rPr>
      <w:rFonts w:asciiTheme="majorHAnsi" w:eastAsiaTheme="majorEastAsia" w:hAnsiTheme="majorHAnsi" w:cstheme="majorBidi"/>
      <w:sz w:val="22"/>
      <w:szCs w:val="22"/>
      <w:lang w:val="en-US"/>
    </w:rPr>
  </w:style>
  <w:style w:type="character" w:customStyle="1" w:styleId="Heading5Char">
    <w:name w:val="Heading 5 Char"/>
    <w:basedOn w:val="DefaultParagraphFont"/>
    <w:link w:val="Heading5"/>
    <w:uiPriority w:val="9"/>
    <w:rsid w:val="00F677ED"/>
    <w:rPr>
      <w:caps/>
      <w:color w:val="622423" w:themeColor="accent2" w:themeShade="7F"/>
      <w:spacing w:val="10"/>
    </w:rPr>
  </w:style>
  <w:style w:type="character" w:customStyle="1" w:styleId="Heading6Char">
    <w:name w:val="Heading 6 Char"/>
    <w:basedOn w:val="DefaultParagraphFont"/>
    <w:link w:val="Heading6"/>
    <w:uiPriority w:val="9"/>
    <w:rsid w:val="00F677ED"/>
    <w:rPr>
      <w:caps/>
      <w:color w:val="943634" w:themeColor="accent2" w:themeShade="BF"/>
      <w:spacing w:val="10"/>
    </w:rPr>
  </w:style>
  <w:style w:type="character" w:customStyle="1" w:styleId="Heading7Char">
    <w:name w:val="Heading 7 Char"/>
    <w:basedOn w:val="DefaultParagraphFont"/>
    <w:link w:val="Heading7"/>
    <w:uiPriority w:val="9"/>
    <w:semiHidden/>
    <w:rsid w:val="00F677ED"/>
    <w:rPr>
      <w:i/>
      <w:iCs/>
      <w:caps/>
      <w:color w:val="943634" w:themeColor="accent2" w:themeShade="BF"/>
      <w:spacing w:val="10"/>
    </w:rPr>
  </w:style>
  <w:style w:type="character" w:customStyle="1" w:styleId="Heading8Char">
    <w:name w:val="Heading 8 Char"/>
    <w:basedOn w:val="DefaultParagraphFont"/>
    <w:link w:val="Heading8"/>
    <w:uiPriority w:val="9"/>
    <w:semiHidden/>
    <w:rsid w:val="00F677ED"/>
    <w:rPr>
      <w:caps/>
      <w:spacing w:val="10"/>
      <w:sz w:val="20"/>
      <w:szCs w:val="20"/>
    </w:rPr>
  </w:style>
  <w:style w:type="character" w:customStyle="1" w:styleId="Heading9Char">
    <w:name w:val="Heading 9 Char"/>
    <w:basedOn w:val="DefaultParagraphFont"/>
    <w:link w:val="Heading9"/>
    <w:uiPriority w:val="9"/>
    <w:semiHidden/>
    <w:rsid w:val="00F677ED"/>
    <w:rPr>
      <w:i/>
      <w:iCs/>
      <w:caps/>
      <w:spacing w:val="10"/>
      <w:sz w:val="20"/>
      <w:szCs w:val="20"/>
    </w:rPr>
  </w:style>
  <w:style w:type="paragraph" w:styleId="Subtitle">
    <w:name w:val="Subtitle"/>
    <w:basedOn w:val="Normal"/>
    <w:next w:val="Normal"/>
    <w:link w:val="SubtitleChar"/>
    <w:uiPriority w:val="11"/>
    <w:qFormat/>
    <w:rsid w:val="00F677ED"/>
    <w:pPr>
      <w:spacing w:after="560"/>
      <w:jc w:val="center"/>
    </w:pPr>
    <w:rPr>
      <w:rFonts w:asciiTheme="majorHAnsi" w:eastAsiaTheme="majorEastAsia" w:hAnsiTheme="majorHAnsi" w:cstheme="majorBidi"/>
      <w:caps/>
      <w:spacing w:val="20"/>
      <w:sz w:val="18"/>
      <w:szCs w:val="18"/>
      <w:lang w:val="en-US"/>
    </w:rPr>
  </w:style>
  <w:style w:type="character" w:customStyle="1" w:styleId="SubtitleChar">
    <w:name w:val="Subtitle Char"/>
    <w:basedOn w:val="DefaultParagraphFont"/>
    <w:link w:val="Subtitle"/>
    <w:uiPriority w:val="11"/>
    <w:rsid w:val="00F677ED"/>
    <w:rPr>
      <w:caps/>
      <w:spacing w:val="20"/>
      <w:sz w:val="18"/>
      <w:szCs w:val="18"/>
    </w:rPr>
  </w:style>
  <w:style w:type="character" w:styleId="Strong">
    <w:name w:val="Strong"/>
    <w:uiPriority w:val="22"/>
    <w:qFormat/>
    <w:rsid w:val="00F677ED"/>
    <w:rPr>
      <w:b/>
      <w:bCs/>
      <w:color w:val="943634" w:themeColor="accent2" w:themeShade="BF"/>
      <w:spacing w:val="5"/>
    </w:rPr>
  </w:style>
  <w:style w:type="paragraph" w:styleId="Quote">
    <w:name w:val="Quote"/>
    <w:basedOn w:val="Normal"/>
    <w:next w:val="Normal"/>
    <w:link w:val="QuoteChar"/>
    <w:uiPriority w:val="29"/>
    <w:qFormat/>
    <w:rsid w:val="00F677ED"/>
    <w:pPr>
      <w:spacing w:after="200" w:line="252" w:lineRule="auto"/>
    </w:pPr>
    <w:rPr>
      <w:rFonts w:asciiTheme="majorHAnsi" w:eastAsiaTheme="majorEastAsia" w:hAnsiTheme="majorHAnsi" w:cstheme="majorBidi"/>
      <w:i/>
      <w:iCs/>
      <w:sz w:val="22"/>
      <w:szCs w:val="22"/>
      <w:lang w:val="en-US"/>
    </w:rPr>
  </w:style>
  <w:style w:type="character" w:customStyle="1" w:styleId="QuoteChar">
    <w:name w:val="Quote Char"/>
    <w:basedOn w:val="DefaultParagraphFont"/>
    <w:link w:val="Quote"/>
    <w:uiPriority w:val="29"/>
    <w:rsid w:val="00F677ED"/>
    <w:rPr>
      <w:i/>
      <w:iCs/>
    </w:rPr>
  </w:style>
  <w:style w:type="paragraph" w:styleId="IntenseQuote">
    <w:name w:val="Intense Quote"/>
    <w:basedOn w:val="Normal"/>
    <w:next w:val="Normal"/>
    <w:link w:val="IntenseQuoteChar"/>
    <w:uiPriority w:val="30"/>
    <w:qFormat/>
    <w:rsid w:val="00F677ED"/>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rsid w:val="00F677ED"/>
    <w:rPr>
      <w:caps/>
      <w:color w:val="622423" w:themeColor="accent2" w:themeShade="7F"/>
      <w:spacing w:val="5"/>
      <w:sz w:val="20"/>
      <w:szCs w:val="20"/>
    </w:rPr>
  </w:style>
  <w:style w:type="character" w:styleId="SubtleEmphasis">
    <w:name w:val="Subtle Emphasis"/>
    <w:uiPriority w:val="19"/>
    <w:qFormat/>
    <w:rsid w:val="00F677ED"/>
    <w:rPr>
      <w:i/>
      <w:iCs/>
    </w:rPr>
  </w:style>
  <w:style w:type="character" w:styleId="IntenseEmphasis">
    <w:name w:val="Intense Emphasis"/>
    <w:uiPriority w:val="21"/>
    <w:qFormat/>
    <w:rsid w:val="00F677ED"/>
    <w:rPr>
      <w:i/>
      <w:iCs/>
      <w:caps/>
      <w:spacing w:val="10"/>
      <w:sz w:val="20"/>
      <w:szCs w:val="20"/>
    </w:rPr>
  </w:style>
  <w:style w:type="character" w:styleId="SubtleReference">
    <w:name w:val="Subtle Reference"/>
    <w:basedOn w:val="DefaultParagraphFont"/>
    <w:uiPriority w:val="31"/>
    <w:qFormat/>
    <w:rsid w:val="00F677E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677E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677ED"/>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F677ED"/>
    <w:pPr>
      <w:outlineLvl w:val="9"/>
    </w:pPr>
    <w:rPr>
      <w:lang w:bidi="en-US"/>
    </w:rPr>
  </w:style>
  <w:style w:type="paragraph" w:styleId="Caption">
    <w:name w:val="caption"/>
    <w:basedOn w:val="Normal"/>
    <w:next w:val="Normal"/>
    <w:uiPriority w:val="35"/>
    <w:semiHidden/>
    <w:unhideWhenUsed/>
    <w:qFormat/>
    <w:rsid w:val="00F677ED"/>
    <w:pPr>
      <w:spacing w:after="200" w:line="252" w:lineRule="auto"/>
    </w:pPr>
    <w:rPr>
      <w:rFonts w:asciiTheme="majorHAnsi" w:eastAsiaTheme="majorEastAsia" w:hAnsiTheme="majorHAnsi" w:cstheme="majorBidi"/>
      <w:caps/>
      <w:spacing w:val="10"/>
      <w:sz w:val="18"/>
      <w:szCs w:val="18"/>
      <w:lang w:val="en-US"/>
    </w:rPr>
  </w:style>
  <w:style w:type="character" w:customStyle="1" w:styleId="NoSpacingChar">
    <w:name w:val="No Spacing Char"/>
    <w:aliases w:val="MS Regular Char"/>
    <w:basedOn w:val="DefaultParagraphFont"/>
    <w:link w:val="NoSpacing"/>
    <w:uiPriority w:val="1"/>
    <w:rsid w:val="00503A44"/>
    <w:rPr>
      <w:rFonts w:ascii="Arial" w:hAnsi="Arial" w:cs="Arial"/>
      <w:sz w:val="24"/>
      <w:bdr w:val="none" w:sz="0" w:space="0" w:color="auto" w:frame="1"/>
    </w:rPr>
  </w:style>
  <w:style w:type="paragraph" w:customStyle="1" w:styleId="PersonalName">
    <w:name w:val="Personal Name"/>
    <w:basedOn w:val="Title"/>
    <w:rsid w:val="00204957"/>
    <w:rPr>
      <w:b/>
      <w:caps w:val="0"/>
      <w:color w:val="000000"/>
      <w:sz w:val="28"/>
      <w:szCs w:val="28"/>
    </w:rPr>
  </w:style>
  <w:style w:type="paragraph" w:styleId="TOC1">
    <w:name w:val="toc 1"/>
    <w:basedOn w:val="Normal"/>
    <w:next w:val="Normal"/>
    <w:autoRedefine/>
    <w:uiPriority w:val="39"/>
    <w:unhideWhenUsed/>
    <w:rsid w:val="00777315"/>
    <w:pPr>
      <w:tabs>
        <w:tab w:val="right" w:leader="dot" w:pos="8630"/>
      </w:tabs>
      <w:spacing w:before="120" w:line="480" w:lineRule="auto"/>
    </w:pPr>
    <w:rPr>
      <w:rFonts w:ascii="Arial" w:eastAsiaTheme="majorEastAsia" w:hAnsi="Arial" w:cs="Arial"/>
      <w:b/>
      <w:noProof/>
      <w:lang w:val="en-US"/>
    </w:rPr>
  </w:style>
  <w:style w:type="paragraph" w:styleId="TOC2">
    <w:name w:val="toc 2"/>
    <w:basedOn w:val="Normal"/>
    <w:next w:val="Normal"/>
    <w:autoRedefine/>
    <w:uiPriority w:val="39"/>
    <w:unhideWhenUsed/>
    <w:rsid w:val="00621FDB"/>
    <w:pPr>
      <w:tabs>
        <w:tab w:val="left" w:pos="654"/>
        <w:tab w:val="right" w:leader="dot" w:pos="8630"/>
      </w:tabs>
      <w:spacing w:line="360" w:lineRule="auto"/>
      <w:ind w:left="220"/>
    </w:pPr>
    <w:rPr>
      <w:rFonts w:asciiTheme="minorHAnsi" w:eastAsiaTheme="majorEastAsia" w:hAnsiTheme="minorHAnsi" w:cstheme="majorBidi"/>
      <w:b/>
      <w:sz w:val="22"/>
      <w:szCs w:val="22"/>
      <w:lang w:val="en-US"/>
    </w:rPr>
  </w:style>
  <w:style w:type="paragraph" w:styleId="TOC3">
    <w:name w:val="toc 3"/>
    <w:basedOn w:val="Normal"/>
    <w:next w:val="Normal"/>
    <w:autoRedefine/>
    <w:uiPriority w:val="39"/>
    <w:unhideWhenUsed/>
    <w:rsid w:val="00CC73A9"/>
    <w:pPr>
      <w:tabs>
        <w:tab w:val="left" w:pos="880"/>
        <w:tab w:val="right" w:leader="dot" w:pos="8630"/>
      </w:tabs>
      <w:spacing w:line="600" w:lineRule="auto"/>
      <w:ind w:left="440"/>
    </w:pPr>
    <w:rPr>
      <w:rFonts w:asciiTheme="minorHAnsi" w:eastAsiaTheme="majorEastAsia" w:hAnsiTheme="minorHAnsi" w:cstheme="majorBidi"/>
      <w:sz w:val="22"/>
      <w:szCs w:val="22"/>
      <w:lang w:val="en-US"/>
    </w:rPr>
  </w:style>
  <w:style w:type="paragraph" w:styleId="BalloonText">
    <w:name w:val="Balloon Text"/>
    <w:basedOn w:val="Normal"/>
    <w:link w:val="BalloonTextChar"/>
    <w:uiPriority w:val="99"/>
    <w:semiHidden/>
    <w:unhideWhenUsed/>
    <w:rsid w:val="0082048F"/>
    <w:rPr>
      <w:rFonts w:ascii="Lucida Grande" w:eastAsiaTheme="maj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82048F"/>
    <w:rPr>
      <w:rFonts w:ascii="Lucida Grande" w:hAnsi="Lucida Grande" w:cs="Lucida Grande"/>
      <w:sz w:val="18"/>
      <w:szCs w:val="18"/>
    </w:rPr>
  </w:style>
  <w:style w:type="paragraph" w:styleId="TOC4">
    <w:name w:val="toc 4"/>
    <w:basedOn w:val="Normal"/>
    <w:next w:val="Normal"/>
    <w:autoRedefine/>
    <w:uiPriority w:val="39"/>
    <w:unhideWhenUsed/>
    <w:rsid w:val="0082048F"/>
    <w:pPr>
      <w:spacing w:line="252" w:lineRule="auto"/>
      <w:ind w:left="660"/>
    </w:pPr>
    <w:rPr>
      <w:rFonts w:asciiTheme="minorHAnsi" w:eastAsiaTheme="majorEastAsia" w:hAnsiTheme="minorHAnsi" w:cstheme="majorBidi"/>
      <w:sz w:val="20"/>
      <w:szCs w:val="20"/>
      <w:lang w:val="en-US"/>
    </w:rPr>
  </w:style>
  <w:style w:type="paragraph" w:styleId="TOC5">
    <w:name w:val="toc 5"/>
    <w:basedOn w:val="Normal"/>
    <w:next w:val="Normal"/>
    <w:autoRedefine/>
    <w:uiPriority w:val="39"/>
    <w:unhideWhenUsed/>
    <w:rsid w:val="0082048F"/>
    <w:pPr>
      <w:spacing w:line="252" w:lineRule="auto"/>
      <w:ind w:left="880"/>
    </w:pPr>
    <w:rPr>
      <w:rFonts w:asciiTheme="minorHAnsi" w:eastAsiaTheme="majorEastAsia" w:hAnsiTheme="minorHAnsi" w:cstheme="majorBidi"/>
      <w:sz w:val="20"/>
      <w:szCs w:val="20"/>
      <w:lang w:val="en-US"/>
    </w:rPr>
  </w:style>
  <w:style w:type="paragraph" w:styleId="TOC6">
    <w:name w:val="toc 6"/>
    <w:basedOn w:val="Normal"/>
    <w:next w:val="Normal"/>
    <w:autoRedefine/>
    <w:uiPriority w:val="39"/>
    <w:unhideWhenUsed/>
    <w:rsid w:val="0082048F"/>
    <w:pPr>
      <w:spacing w:line="252" w:lineRule="auto"/>
      <w:ind w:left="1100"/>
    </w:pPr>
    <w:rPr>
      <w:rFonts w:asciiTheme="minorHAnsi" w:eastAsiaTheme="majorEastAsia" w:hAnsiTheme="minorHAnsi" w:cstheme="majorBidi"/>
      <w:sz w:val="20"/>
      <w:szCs w:val="20"/>
      <w:lang w:val="en-US"/>
    </w:rPr>
  </w:style>
  <w:style w:type="paragraph" w:styleId="TOC7">
    <w:name w:val="toc 7"/>
    <w:basedOn w:val="Normal"/>
    <w:next w:val="Normal"/>
    <w:autoRedefine/>
    <w:uiPriority w:val="39"/>
    <w:unhideWhenUsed/>
    <w:rsid w:val="0082048F"/>
    <w:pPr>
      <w:spacing w:line="252" w:lineRule="auto"/>
      <w:ind w:left="1320"/>
    </w:pPr>
    <w:rPr>
      <w:rFonts w:asciiTheme="minorHAnsi" w:eastAsiaTheme="majorEastAsia" w:hAnsiTheme="minorHAnsi" w:cstheme="majorBidi"/>
      <w:sz w:val="20"/>
      <w:szCs w:val="20"/>
      <w:lang w:val="en-US"/>
    </w:rPr>
  </w:style>
  <w:style w:type="paragraph" w:styleId="TOC8">
    <w:name w:val="toc 8"/>
    <w:basedOn w:val="Normal"/>
    <w:next w:val="Normal"/>
    <w:autoRedefine/>
    <w:uiPriority w:val="39"/>
    <w:unhideWhenUsed/>
    <w:rsid w:val="0082048F"/>
    <w:pPr>
      <w:spacing w:line="252" w:lineRule="auto"/>
      <w:ind w:left="1540"/>
    </w:pPr>
    <w:rPr>
      <w:rFonts w:asciiTheme="minorHAnsi" w:eastAsiaTheme="majorEastAsia" w:hAnsiTheme="minorHAnsi" w:cstheme="majorBidi"/>
      <w:sz w:val="20"/>
      <w:szCs w:val="20"/>
      <w:lang w:val="en-US"/>
    </w:rPr>
  </w:style>
  <w:style w:type="paragraph" w:styleId="TOC9">
    <w:name w:val="toc 9"/>
    <w:basedOn w:val="Normal"/>
    <w:next w:val="Normal"/>
    <w:autoRedefine/>
    <w:uiPriority w:val="39"/>
    <w:unhideWhenUsed/>
    <w:rsid w:val="0082048F"/>
    <w:pPr>
      <w:spacing w:line="252" w:lineRule="auto"/>
      <w:ind w:left="1760"/>
    </w:pPr>
    <w:rPr>
      <w:rFonts w:asciiTheme="minorHAnsi" w:eastAsiaTheme="majorEastAsia" w:hAnsiTheme="minorHAnsi" w:cstheme="majorBidi"/>
      <w:sz w:val="20"/>
      <w:szCs w:val="20"/>
      <w:lang w:val="en-US"/>
    </w:rPr>
  </w:style>
  <w:style w:type="paragraph" w:styleId="Footer">
    <w:name w:val="footer"/>
    <w:basedOn w:val="Normal"/>
    <w:link w:val="FooterChar"/>
    <w:uiPriority w:val="99"/>
    <w:unhideWhenUsed/>
    <w:rsid w:val="000C6195"/>
    <w:pPr>
      <w:tabs>
        <w:tab w:val="center" w:pos="4320"/>
        <w:tab w:val="right" w:pos="8640"/>
      </w:tabs>
    </w:pPr>
    <w:rPr>
      <w:rFonts w:asciiTheme="majorHAnsi" w:eastAsiaTheme="majorEastAsia" w:hAnsiTheme="majorHAnsi" w:cstheme="majorBidi"/>
      <w:sz w:val="22"/>
      <w:szCs w:val="22"/>
      <w:lang w:val="en-US"/>
    </w:rPr>
  </w:style>
  <w:style w:type="character" w:customStyle="1" w:styleId="FooterChar">
    <w:name w:val="Footer Char"/>
    <w:basedOn w:val="DefaultParagraphFont"/>
    <w:link w:val="Footer"/>
    <w:uiPriority w:val="99"/>
    <w:rsid w:val="000C6195"/>
  </w:style>
  <w:style w:type="character" w:styleId="PageNumber">
    <w:name w:val="page number"/>
    <w:basedOn w:val="DefaultParagraphFont"/>
    <w:uiPriority w:val="99"/>
    <w:semiHidden/>
    <w:unhideWhenUsed/>
    <w:rsid w:val="000C6195"/>
  </w:style>
  <w:style w:type="character" w:customStyle="1" w:styleId="underline">
    <w:name w:val="underline"/>
    <w:basedOn w:val="DefaultParagraphFont"/>
    <w:rsid w:val="00A04930"/>
  </w:style>
  <w:style w:type="character" w:customStyle="1" w:styleId="inherit-font-size">
    <w:name w:val="inherit-font-size"/>
    <w:basedOn w:val="DefaultParagraphFont"/>
    <w:rsid w:val="00E56692"/>
  </w:style>
  <w:style w:type="paragraph" w:styleId="Header">
    <w:name w:val="header"/>
    <w:basedOn w:val="Normal"/>
    <w:link w:val="HeaderChar"/>
    <w:uiPriority w:val="99"/>
    <w:unhideWhenUsed/>
    <w:rsid w:val="00DB47F5"/>
    <w:pPr>
      <w:tabs>
        <w:tab w:val="center" w:pos="4320"/>
        <w:tab w:val="right" w:pos="8640"/>
      </w:tabs>
    </w:pPr>
    <w:rPr>
      <w:rFonts w:asciiTheme="majorHAnsi" w:eastAsiaTheme="majorEastAsia" w:hAnsiTheme="majorHAnsi" w:cstheme="majorBidi"/>
      <w:sz w:val="22"/>
      <w:szCs w:val="22"/>
      <w:lang w:val="en-US"/>
    </w:rPr>
  </w:style>
  <w:style w:type="character" w:customStyle="1" w:styleId="HeaderChar">
    <w:name w:val="Header Char"/>
    <w:basedOn w:val="DefaultParagraphFont"/>
    <w:link w:val="Header"/>
    <w:uiPriority w:val="99"/>
    <w:rsid w:val="00DB47F5"/>
  </w:style>
  <w:style w:type="character" w:styleId="FollowedHyperlink">
    <w:name w:val="FollowedHyperlink"/>
    <w:basedOn w:val="DefaultParagraphFont"/>
    <w:uiPriority w:val="99"/>
    <w:semiHidden/>
    <w:unhideWhenUsed/>
    <w:rsid w:val="00240850"/>
    <w:rPr>
      <w:color w:val="800080" w:themeColor="followedHyperlink"/>
      <w:u w:val="single"/>
    </w:rPr>
  </w:style>
  <w:style w:type="character" w:customStyle="1" w:styleId="nowrap">
    <w:name w:val="nowrap"/>
    <w:basedOn w:val="DefaultParagraphFont"/>
    <w:rsid w:val="00181A7E"/>
  </w:style>
  <w:style w:type="character" w:customStyle="1" w:styleId="solext0">
    <w:name w:val="solext0"/>
    <w:basedOn w:val="DefaultParagraphFont"/>
    <w:rsid w:val="00E06416"/>
  </w:style>
  <w:style w:type="character" w:customStyle="1" w:styleId="solext1">
    <w:name w:val="solext1"/>
    <w:basedOn w:val="DefaultParagraphFont"/>
    <w:rsid w:val="00E06416"/>
  </w:style>
  <w:style w:type="character" w:customStyle="1" w:styleId="reflex3-block">
    <w:name w:val="reflex3-block"/>
    <w:basedOn w:val="DefaultParagraphFont"/>
    <w:rsid w:val="00E06416"/>
  </w:style>
  <w:style w:type="character" w:customStyle="1" w:styleId="reflex3-alt">
    <w:name w:val="reflex3-alt"/>
    <w:basedOn w:val="DefaultParagraphFont"/>
    <w:rsid w:val="00E06416"/>
  </w:style>
  <w:style w:type="character" w:customStyle="1" w:styleId="color19">
    <w:name w:val="color_19"/>
    <w:basedOn w:val="DefaultParagraphFont"/>
    <w:rsid w:val="00AE0568"/>
  </w:style>
  <w:style w:type="character" w:customStyle="1" w:styleId="ssbf">
    <w:name w:val="ss_bf"/>
    <w:basedOn w:val="DefaultParagraphFont"/>
    <w:rsid w:val="009C5FF9"/>
  </w:style>
  <w:style w:type="character" w:customStyle="1" w:styleId="ssit">
    <w:name w:val="ss_it"/>
    <w:basedOn w:val="DefaultParagraphFont"/>
    <w:rsid w:val="009C5FF9"/>
  </w:style>
  <w:style w:type="character" w:customStyle="1" w:styleId="emphasisstrongchar">
    <w:name w:val="emphasisstrongchar"/>
    <w:basedOn w:val="DefaultParagraphFont"/>
    <w:rsid w:val="00B97C3B"/>
  </w:style>
  <w:style w:type="paragraph" w:customStyle="1" w:styleId="bcontinuingpara">
    <w:name w:val="bcontinuingpara"/>
    <w:basedOn w:val="Normal"/>
    <w:rsid w:val="00A40F69"/>
    <w:pPr>
      <w:spacing w:before="100" w:beforeAutospacing="1" w:after="100" w:afterAutospacing="1"/>
    </w:pPr>
    <w:rPr>
      <w:rFonts w:ascii="Times" w:eastAsiaTheme="majorEastAsia" w:hAnsi="Times" w:cstheme="majorBidi"/>
      <w:sz w:val="20"/>
      <w:szCs w:val="20"/>
      <w:lang w:val="en-US"/>
    </w:rPr>
  </w:style>
  <w:style w:type="paragraph" w:styleId="ListBullet2">
    <w:name w:val="List Bullet 2"/>
    <w:basedOn w:val="Normal"/>
    <w:uiPriority w:val="99"/>
    <w:semiHidden/>
    <w:unhideWhenUsed/>
    <w:rsid w:val="003D26B1"/>
    <w:pPr>
      <w:spacing w:before="100" w:beforeAutospacing="1" w:after="100" w:afterAutospacing="1"/>
    </w:pPr>
    <w:rPr>
      <w:rFonts w:ascii="Times" w:eastAsiaTheme="majorEastAsia" w:hAnsi="Times" w:cstheme="majorBidi"/>
      <w:sz w:val="20"/>
      <w:szCs w:val="20"/>
      <w:lang w:val="en-US"/>
    </w:rPr>
  </w:style>
  <w:style w:type="character" w:styleId="FootnoteReference">
    <w:name w:val="footnote reference"/>
    <w:basedOn w:val="DefaultParagraphFont"/>
    <w:uiPriority w:val="99"/>
    <w:semiHidden/>
    <w:unhideWhenUsed/>
    <w:rsid w:val="007D4474"/>
  </w:style>
  <w:style w:type="character" w:styleId="UnresolvedMention">
    <w:name w:val="Unresolved Mention"/>
    <w:basedOn w:val="DefaultParagraphFont"/>
    <w:uiPriority w:val="99"/>
    <w:semiHidden/>
    <w:unhideWhenUsed/>
    <w:rsid w:val="0079458B"/>
    <w:rPr>
      <w:color w:val="605E5C"/>
      <w:shd w:val="clear" w:color="auto" w:fill="E1DFDD"/>
    </w:rPr>
  </w:style>
  <w:style w:type="character" w:customStyle="1" w:styleId="apple-converted-space">
    <w:name w:val="apple-converted-space"/>
    <w:basedOn w:val="DefaultParagraphFont"/>
    <w:rsid w:val="00DD52FC"/>
  </w:style>
  <w:style w:type="paragraph" w:customStyle="1" w:styleId="dsubquote">
    <w:name w:val="dsubquote"/>
    <w:basedOn w:val="Normal"/>
    <w:rsid w:val="009479EB"/>
    <w:pPr>
      <w:spacing w:before="100" w:beforeAutospacing="1" w:after="100" w:afterAutospacing="1"/>
    </w:pPr>
  </w:style>
  <w:style w:type="paragraph" w:customStyle="1" w:styleId="legislativequote">
    <w:name w:val="legislativequote"/>
    <w:basedOn w:val="Normal"/>
    <w:rsid w:val="005647C7"/>
    <w:pPr>
      <w:spacing w:before="100" w:beforeAutospacing="1" w:after="100" w:afterAutospacing="1"/>
    </w:pPr>
  </w:style>
  <w:style w:type="paragraph" w:styleId="ListNumber">
    <w:name w:val="List Number"/>
    <w:basedOn w:val="Normal"/>
    <w:uiPriority w:val="99"/>
    <w:semiHidden/>
    <w:unhideWhenUsed/>
    <w:rsid w:val="00B473CC"/>
    <w:pPr>
      <w:spacing w:before="100" w:beforeAutospacing="1" w:after="100" w:afterAutospacing="1"/>
    </w:pPr>
  </w:style>
  <w:style w:type="paragraph" w:customStyle="1" w:styleId="sccnormaldoublespacing">
    <w:name w:val="sccnormaldoublespacing"/>
    <w:basedOn w:val="Normal"/>
    <w:rsid w:val="00FB5F70"/>
    <w:pPr>
      <w:spacing w:before="100" w:beforeAutospacing="1" w:after="100" w:afterAutospacing="1"/>
    </w:pPr>
  </w:style>
  <w:style w:type="character" w:customStyle="1" w:styleId="decisia-reflex2-icon">
    <w:name w:val="decisia-reflex2-icon"/>
    <w:basedOn w:val="DefaultParagraphFont"/>
    <w:rsid w:val="00FB5F70"/>
  </w:style>
  <w:style w:type="paragraph" w:styleId="ListBullet">
    <w:name w:val="List Bullet"/>
    <w:basedOn w:val="Normal"/>
    <w:uiPriority w:val="99"/>
    <w:semiHidden/>
    <w:unhideWhenUsed/>
    <w:rsid w:val="00986A63"/>
    <w:pPr>
      <w:numPr>
        <w:numId w:val="33"/>
      </w:numPr>
      <w:contextualSpacing/>
    </w:pPr>
  </w:style>
  <w:style w:type="paragraph" w:customStyle="1" w:styleId="aaajudgmentpara">
    <w:name w:val="aaajudgmentpara"/>
    <w:basedOn w:val="Normal"/>
    <w:rsid w:val="00D322DB"/>
    <w:pPr>
      <w:spacing w:before="100" w:beforeAutospacing="1" w:after="100" w:afterAutospacing="1"/>
    </w:pPr>
  </w:style>
  <w:style w:type="paragraph" w:customStyle="1" w:styleId="paranondepar-altn">
    <w:name w:val="paranondepar-altn"/>
    <w:basedOn w:val="Normal"/>
    <w:rsid w:val="004B0B05"/>
    <w:pPr>
      <w:spacing w:before="100" w:beforeAutospacing="1" w:after="100" w:afterAutospacing="1"/>
    </w:pPr>
  </w:style>
  <w:style w:type="paragraph" w:customStyle="1" w:styleId="citation-altc">
    <w:name w:val="citation-altc"/>
    <w:basedOn w:val="Normal"/>
    <w:rsid w:val="00B81805"/>
    <w:pPr>
      <w:spacing w:before="100" w:beforeAutospacing="1" w:after="100" w:afterAutospacing="1"/>
    </w:pPr>
  </w:style>
  <w:style w:type="character" w:customStyle="1" w:styleId="sssh">
    <w:name w:val="ss_sh"/>
    <w:basedOn w:val="DefaultParagraphFont"/>
    <w:rsid w:val="00B0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5">
      <w:bodyDiv w:val="1"/>
      <w:marLeft w:val="0"/>
      <w:marRight w:val="0"/>
      <w:marTop w:val="0"/>
      <w:marBottom w:val="0"/>
      <w:divBdr>
        <w:top w:val="none" w:sz="0" w:space="0" w:color="auto"/>
        <w:left w:val="none" w:sz="0" w:space="0" w:color="auto"/>
        <w:bottom w:val="none" w:sz="0" w:space="0" w:color="auto"/>
        <w:right w:val="none" w:sz="0" w:space="0" w:color="auto"/>
      </w:divBdr>
    </w:div>
    <w:div w:id="8140672">
      <w:bodyDiv w:val="1"/>
      <w:marLeft w:val="0"/>
      <w:marRight w:val="0"/>
      <w:marTop w:val="0"/>
      <w:marBottom w:val="0"/>
      <w:divBdr>
        <w:top w:val="none" w:sz="0" w:space="0" w:color="auto"/>
        <w:left w:val="none" w:sz="0" w:space="0" w:color="auto"/>
        <w:bottom w:val="none" w:sz="0" w:space="0" w:color="auto"/>
        <w:right w:val="none" w:sz="0" w:space="0" w:color="auto"/>
      </w:divBdr>
    </w:div>
    <w:div w:id="12924273">
      <w:bodyDiv w:val="1"/>
      <w:marLeft w:val="0"/>
      <w:marRight w:val="0"/>
      <w:marTop w:val="0"/>
      <w:marBottom w:val="0"/>
      <w:divBdr>
        <w:top w:val="none" w:sz="0" w:space="0" w:color="auto"/>
        <w:left w:val="none" w:sz="0" w:space="0" w:color="auto"/>
        <w:bottom w:val="none" w:sz="0" w:space="0" w:color="auto"/>
        <w:right w:val="none" w:sz="0" w:space="0" w:color="auto"/>
      </w:divBdr>
    </w:div>
    <w:div w:id="14160593">
      <w:bodyDiv w:val="1"/>
      <w:marLeft w:val="0"/>
      <w:marRight w:val="0"/>
      <w:marTop w:val="0"/>
      <w:marBottom w:val="0"/>
      <w:divBdr>
        <w:top w:val="none" w:sz="0" w:space="0" w:color="auto"/>
        <w:left w:val="none" w:sz="0" w:space="0" w:color="auto"/>
        <w:bottom w:val="none" w:sz="0" w:space="0" w:color="auto"/>
        <w:right w:val="none" w:sz="0" w:space="0" w:color="auto"/>
      </w:divBdr>
    </w:div>
    <w:div w:id="18898484">
      <w:bodyDiv w:val="1"/>
      <w:marLeft w:val="0"/>
      <w:marRight w:val="0"/>
      <w:marTop w:val="0"/>
      <w:marBottom w:val="0"/>
      <w:divBdr>
        <w:top w:val="none" w:sz="0" w:space="0" w:color="auto"/>
        <w:left w:val="none" w:sz="0" w:space="0" w:color="auto"/>
        <w:bottom w:val="none" w:sz="0" w:space="0" w:color="auto"/>
        <w:right w:val="none" w:sz="0" w:space="0" w:color="auto"/>
      </w:divBdr>
    </w:div>
    <w:div w:id="24671793">
      <w:bodyDiv w:val="1"/>
      <w:marLeft w:val="0"/>
      <w:marRight w:val="0"/>
      <w:marTop w:val="0"/>
      <w:marBottom w:val="0"/>
      <w:divBdr>
        <w:top w:val="none" w:sz="0" w:space="0" w:color="auto"/>
        <w:left w:val="none" w:sz="0" w:space="0" w:color="auto"/>
        <w:bottom w:val="none" w:sz="0" w:space="0" w:color="auto"/>
        <w:right w:val="none" w:sz="0" w:space="0" w:color="auto"/>
      </w:divBdr>
    </w:div>
    <w:div w:id="41834433">
      <w:bodyDiv w:val="1"/>
      <w:marLeft w:val="0"/>
      <w:marRight w:val="0"/>
      <w:marTop w:val="0"/>
      <w:marBottom w:val="0"/>
      <w:divBdr>
        <w:top w:val="none" w:sz="0" w:space="0" w:color="auto"/>
        <w:left w:val="none" w:sz="0" w:space="0" w:color="auto"/>
        <w:bottom w:val="none" w:sz="0" w:space="0" w:color="auto"/>
        <w:right w:val="none" w:sz="0" w:space="0" w:color="auto"/>
      </w:divBdr>
    </w:div>
    <w:div w:id="42408016">
      <w:bodyDiv w:val="1"/>
      <w:marLeft w:val="0"/>
      <w:marRight w:val="0"/>
      <w:marTop w:val="0"/>
      <w:marBottom w:val="0"/>
      <w:divBdr>
        <w:top w:val="none" w:sz="0" w:space="0" w:color="auto"/>
        <w:left w:val="none" w:sz="0" w:space="0" w:color="auto"/>
        <w:bottom w:val="none" w:sz="0" w:space="0" w:color="auto"/>
        <w:right w:val="none" w:sz="0" w:space="0" w:color="auto"/>
      </w:divBdr>
    </w:div>
    <w:div w:id="45420344">
      <w:bodyDiv w:val="1"/>
      <w:marLeft w:val="0"/>
      <w:marRight w:val="0"/>
      <w:marTop w:val="0"/>
      <w:marBottom w:val="0"/>
      <w:divBdr>
        <w:top w:val="none" w:sz="0" w:space="0" w:color="auto"/>
        <w:left w:val="none" w:sz="0" w:space="0" w:color="auto"/>
        <w:bottom w:val="none" w:sz="0" w:space="0" w:color="auto"/>
        <w:right w:val="none" w:sz="0" w:space="0" w:color="auto"/>
      </w:divBdr>
    </w:div>
    <w:div w:id="50618830">
      <w:bodyDiv w:val="1"/>
      <w:marLeft w:val="0"/>
      <w:marRight w:val="0"/>
      <w:marTop w:val="0"/>
      <w:marBottom w:val="0"/>
      <w:divBdr>
        <w:top w:val="none" w:sz="0" w:space="0" w:color="auto"/>
        <w:left w:val="none" w:sz="0" w:space="0" w:color="auto"/>
        <w:bottom w:val="none" w:sz="0" w:space="0" w:color="auto"/>
        <w:right w:val="none" w:sz="0" w:space="0" w:color="auto"/>
      </w:divBdr>
    </w:div>
    <w:div w:id="55128313">
      <w:bodyDiv w:val="1"/>
      <w:marLeft w:val="0"/>
      <w:marRight w:val="0"/>
      <w:marTop w:val="0"/>
      <w:marBottom w:val="0"/>
      <w:divBdr>
        <w:top w:val="none" w:sz="0" w:space="0" w:color="auto"/>
        <w:left w:val="none" w:sz="0" w:space="0" w:color="auto"/>
        <w:bottom w:val="none" w:sz="0" w:space="0" w:color="auto"/>
        <w:right w:val="none" w:sz="0" w:space="0" w:color="auto"/>
      </w:divBdr>
    </w:div>
    <w:div w:id="61559956">
      <w:bodyDiv w:val="1"/>
      <w:marLeft w:val="0"/>
      <w:marRight w:val="0"/>
      <w:marTop w:val="0"/>
      <w:marBottom w:val="0"/>
      <w:divBdr>
        <w:top w:val="none" w:sz="0" w:space="0" w:color="auto"/>
        <w:left w:val="none" w:sz="0" w:space="0" w:color="auto"/>
        <w:bottom w:val="none" w:sz="0" w:space="0" w:color="auto"/>
        <w:right w:val="none" w:sz="0" w:space="0" w:color="auto"/>
      </w:divBdr>
    </w:div>
    <w:div w:id="69810422">
      <w:bodyDiv w:val="1"/>
      <w:marLeft w:val="0"/>
      <w:marRight w:val="0"/>
      <w:marTop w:val="0"/>
      <w:marBottom w:val="0"/>
      <w:divBdr>
        <w:top w:val="none" w:sz="0" w:space="0" w:color="auto"/>
        <w:left w:val="none" w:sz="0" w:space="0" w:color="auto"/>
        <w:bottom w:val="none" w:sz="0" w:space="0" w:color="auto"/>
        <w:right w:val="none" w:sz="0" w:space="0" w:color="auto"/>
      </w:divBdr>
    </w:div>
    <w:div w:id="79328486">
      <w:bodyDiv w:val="1"/>
      <w:marLeft w:val="0"/>
      <w:marRight w:val="0"/>
      <w:marTop w:val="0"/>
      <w:marBottom w:val="0"/>
      <w:divBdr>
        <w:top w:val="none" w:sz="0" w:space="0" w:color="auto"/>
        <w:left w:val="none" w:sz="0" w:space="0" w:color="auto"/>
        <w:bottom w:val="none" w:sz="0" w:space="0" w:color="auto"/>
        <w:right w:val="none" w:sz="0" w:space="0" w:color="auto"/>
      </w:divBdr>
    </w:div>
    <w:div w:id="80180312">
      <w:bodyDiv w:val="1"/>
      <w:marLeft w:val="0"/>
      <w:marRight w:val="0"/>
      <w:marTop w:val="0"/>
      <w:marBottom w:val="0"/>
      <w:divBdr>
        <w:top w:val="none" w:sz="0" w:space="0" w:color="auto"/>
        <w:left w:val="none" w:sz="0" w:space="0" w:color="auto"/>
        <w:bottom w:val="none" w:sz="0" w:space="0" w:color="auto"/>
        <w:right w:val="none" w:sz="0" w:space="0" w:color="auto"/>
      </w:divBdr>
    </w:div>
    <w:div w:id="80295890">
      <w:bodyDiv w:val="1"/>
      <w:marLeft w:val="0"/>
      <w:marRight w:val="0"/>
      <w:marTop w:val="0"/>
      <w:marBottom w:val="0"/>
      <w:divBdr>
        <w:top w:val="none" w:sz="0" w:space="0" w:color="auto"/>
        <w:left w:val="none" w:sz="0" w:space="0" w:color="auto"/>
        <w:bottom w:val="none" w:sz="0" w:space="0" w:color="auto"/>
        <w:right w:val="none" w:sz="0" w:space="0" w:color="auto"/>
      </w:divBdr>
    </w:div>
    <w:div w:id="86192956">
      <w:bodyDiv w:val="1"/>
      <w:marLeft w:val="0"/>
      <w:marRight w:val="0"/>
      <w:marTop w:val="0"/>
      <w:marBottom w:val="0"/>
      <w:divBdr>
        <w:top w:val="none" w:sz="0" w:space="0" w:color="auto"/>
        <w:left w:val="none" w:sz="0" w:space="0" w:color="auto"/>
        <w:bottom w:val="none" w:sz="0" w:space="0" w:color="auto"/>
        <w:right w:val="none" w:sz="0" w:space="0" w:color="auto"/>
      </w:divBdr>
    </w:div>
    <w:div w:id="88237508">
      <w:bodyDiv w:val="1"/>
      <w:marLeft w:val="0"/>
      <w:marRight w:val="0"/>
      <w:marTop w:val="0"/>
      <w:marBottom w:val="0"/>
      <w:divBdr>
        <w:top w:val="none" w:sz="0" w:space="0" w:color="auto"/>
        <w:left w:val="none" w:sz="0" w:space="0" w:color="auto"/>
        <w:bottom w:val="none" w:sz="0" w:space="0" w:color="auto"/>
        <w:right w:val="none" w:sz="0" w:space="0" w:color="auto"/>
      </w:divBdr>
    </w:div>
    <w:div w:id="93592915">
      <w:bodyDiv w:val="1"/>
      <w:marLeft w:val="0"/>
      <w:marRight w:val="0"/>
      <w:marTop w:val="0"/>
      <w:marBottom w:val="0"/>
      <w:divBdr>
        <w:top w:val="none" w:sz="0" w:space="0" w:color="auto"/>
        <w:left w:val="none" w:sz="0" w:space="0" w:color="auto"/>
        <w:bottom w:val="none" w:sz="0" w:space="0" w:color="auto"/>
        <w:right w:val="none" w:sz="0" w:space="0" w:color="auto"/>
      </w:divBdr>
    </w:div>
    <w:div w:id="95369961">
      <w:bodyDiv w:val="1"/>
      <w:marLeft w:val="0"/>
      <w:marRight w:val="0"/>
      <w:marTop w:val="0"/>
      <w:marBottom w:val="0"/>
      <w:divBdr>
        <w:top w:val="none" w:sz="0" w:space="0" w:color="auto"/>
        <w:left w:val="none" w:sz="0" w:space="0" w:color="auto"/>
        <w:bottom w:val="none" w:sz="0" w:space="0" w:color="auto"/>
        <w:right w:val="none" w:sz="0" w:space="0" w:color="auto"/>
      </w:divBdr>
    </w:div>
    <w:div w:id="97720516">
      <w:bodyDiv w:val="1"/>
      <w:marLeft w:val="0"/>
      <w:marRight w:val="0"/>
      <w:marTop w:val="0"/>
      <w:marBottom w:val="0"/>
      <w:divBdr>
        <w:top w:val="none" w:sz="0" w:space="0" w:color="auto"/>
        <w:left w:val="none" w:sz="0" w:space="0" w:color="auto"/>
        <w:bottom w:val="none" w:sz="0" w:space="0" w:color="auto"/>
        <w:right w:val="none" w:sz="0" w:space="0" w:color="auto"/>
      </w:divBdr>
    </w:div>
    <w:div w:id="105078372">
      <w:bodyDiv w:val="1"/>
      <w:marLeft w:val="0"/>
      <w:marRight w:val="0"/>
      <w:marTop w:val="0"/>
      <w:marBottom w:val="0"/>
      <w:divBdr>
        <w:top w:val="none" w:sz="0" w:space="0" w:color="auto"/>
        <w:left w:val="none" w:sz="0" w:space="0" w:color="auto"/>
        <w:bottom w:val="none" w:sz="0" w:space="0" w:color="auto"/>
        <w:right w:val="none" w:sz="0" w:space="0" w:color="auto"/>
      </w:divBdr>
    </w:div>
    <w:div w:id="108819144">
      <w:bodyDiv w:val="1"/>
      <w:marLeft w:val="0"/>
      <w:marRight w:val="0"/>
      <w:marTop w:val="0"/>
      <w:marBottom w:val="0"/>
      <w:divBdr>
        <w:top w:val="none" w:sz="0" w:space="0" w:color="auto"/>
        <w:left w:val="none" w:sz="0" w:space="0" w:color="auto"/>
        <w:bottom w:val="none" w:sz="0" w:space="0" w:color="auto"/>
        <w:right w:val="none" w:sz="0" w:space="0" w:color="auto"/>
      </w:divBdr>
    </w:div>
    <w:div w:id="116141787">
      <w:bodyDiv w:val="1"/>
      <w:marLeft w:val="0"/>
      <w:marRight w:val="0"/>
      <w:marTop w:val="0"/>
      <w:marBottom w:val="0"/>
      <w:divBdr>
        <w:top w:val="none" w:sz="0" w:space="0" w:color="auto"/>
        <w:left w:val="none" w:sz="0" w:space="0" w:color="auto"/>
        <w:bottom w:val="none" w:sz="0" w:space="0" w:color="auto"/>
        <w:right w:val="none" w:sz="0" w:space="0" w:color="auto"/>
      </w:divBdr>
    </w:div>
    <w:div w:id="120808732">
      <w:bodyDiv w:val="1"/>
      <w:marLeft w:val="0"/>
      <w:marRight w:val="0"/>
      <w:marTop w:val="0"/>
      <w:marBottom w:val="0"/>
      <w:divBdr>
        <w:top w:val="none" w:sz="0" w:space="0" w:color="auto"/>
        <w:left w:val="none" w:sz="0" w:space="0" w:color="auto"/>
        <w:bottom w:val="none" w:sz="0" w:space="0" w:color="auto"/>
        <w:right w:val="none" w:sz="0" w:space="0" w:color="auto"/>
      </w:divBdr>
    </w:div>
    <w:div w:id="124931758">
      <w:bodyDiv w:val="1"/>
      <w:marLeft w:val="0"/>
      <w:marRight w:val="0"/>
      <w:marTop w:val="0"/>
      <w:marBottom w:val="0"/>
      <w:divBdr>
        <w:top w:val="none" w:sz="0" w:space="0" w:color="auto"/>
        <w:left w:val="none" w:sz="0" w:space="0" w:color="auto"/>
        <w:bottom w:val="none" w:sz="0" w:space="0" w:color="auto"/>
        <w:right w:val="none" w:sz="0" w:space="0" w:color="auto"/>
      </w:divBdr>
    </w:div>
    <w:div w:id="131950420">
      <w:bodyDiv w:val="1"/>
      <w:marLeft w:val="0"/>
      <w:marRight w:val="0"/>
      <w:marTop w:val="0"/>
      <w:marBottom w:val="0"/>
      <w:divBdr>
        <w:top w:val="none" w:sz="0" w:space="0" w:color="auto"/>
        <w:left w:val="none" w:sz="0" w:space="0" w:color="auto"/>
        <w:bottom w:val="none" w:sz="0" w:space="0" w:color="auto"/>
        <w:right w:val="none" w:sz="0" w:space="0" w:color="auto"/>
      </w:divBdr>
    </w:div>
    <w:div w:id="133061408">
      <w:bodyDiv w:val="1"/>
      <w:marLeft w:val="0"/>
      <w:marRight w:val="0"/>
      <w:marTop w:val="0"/>
      <w:marBottom w:val="0"/>
      <w:divBdr>
        <w:top w:val="none" w:sz="0" w:space="0" w:color="auto"/>
        <w:left w:val="none" w:sz="0" w:space="0" w:color="auto"/>
        <w:bottom w:val="none" w:sz="0" w:space="0" w:color="auto"/>
        <w:right w:val="none" w:sz="0" w:space="0" w:color="auto"/>
      </w:divBdr>
    </w:div>
    <w:div w:id="133762323">
      <w:bodyDiv w:val="1"/>
      <w:marLeft w:val="0"/>
      <w:marRight w:val="0"/>
      <w:marTop w:val="0"/>
      <w:marBottom w:val="0"/>
      <w:divBdr>
        <w:top w:val="none" w:sz="0" w:space="0" w:color="auto"/>
        <w:left w:val="none" w:sz="0" w:space="0" w:color="auto"/>
        <w:bottom w:val="none" w:sz="0" w:space="0" w:color="auto"/>
        <w:right w:val="none" w:sz="0" w:space="0" w:color="auto"/>
      </w:divBdr>
    </w:div>
    <w:div w:id="137112041">
      <w:bodyDiv w:val="1"/>
      <w:marLeft w:val="0"/>
      <w:marRight w:val="0"/>
      <w:marTop w:val="0"/>
      <w:marBottom w:val="0"/>
      <w:divBdr>
        <w:top w:val="none" w:sz="0" w:space="0" w:color="auto"/>
        <w:left w:val="none" w:sz="0" w:space="0" w:color="auto"/>
        <w:bottom w:val="none" w:sz="0" w:space="0" w:color="auto"/>
        <w:right w:val="none" w:sz="0" w:space="0" w:color="auto"/>
      </w:divBdr>
    </w:div>
    <w:div w:id="143158315">
      <w:bodyDiv w:val="1"/>
      <w:marLeft w:val="0"/>
      <w:marRight w:val="0"/>
      <w:marTop w:val="0"/>
      <w:marBottom w:val="0"/>
      <w:divBdr>
        <w:top w:val="none" w:sz="0" w:space="0" w:color="auto"/>
        <w:left w:val="none" w:sz="0" w:space="0" w:color="auto"/>
        <w:bottom w:val="none" w:sz="0" w:space="0" w:color="auto"/>
        <w:right w:val="none" w:sz="0" w:space="0" w:color="auto"/>
      </w:divBdr>
    </w:div>
    <w:div w:id="144057595">
      <w:bodyDiv w:val="1"/>
      <w:marLeft w:val="0"/>
      <w:marRight w:val="0"/>
      <w:marTop w:val="0"/>
      <w:marBottom w:val="0"/>
      <w:divBdr>
        <w:top w:val="none" w:sz="0" w:space="0" w:color="auto"/>
        <w:left w:val="none" w:sz="0" w:space="0" w:color="auto"/>
        <w:bottom w:val="none" w:sz="0" w:space="0" w:color="auto"/>
        <w:right w:val="none" w:sz="0" w:space="0" w:color="auto"/>
      </w:divBdr>
    </w:div>
    <w:div w:id="144249208">
      <w:bodyDiv w:val="1"/>
      <w:marLeft w:val="0"/>
      <w:marRight w:val="0"/>
      <w:marTop w:val="0"/>
      <w:marBottom w:val="0"/>
      <w:divBdr>
        <w:top w:val="none" w:sz="0" w:space="0" w:color="auto"/>
        <w:left w:val="none" w:sz="0" w:space="0" w:color="auto"/>
        <w:bottom w:val="none" w:sz="0" w:space="0" w:color="auto"/>
        <w:right w:val="none" w:sz="0" w:space="0" w:color="auto"/>
      </w:divBdr>
    </w:div>
    <w:div w:id="152068799">
      <w:bodyDiv w:val="1"/>
      <w:marLeft w:val="0"/>
      <w:marRight w:val="0"/>
      <w:marTop w:val="0"/>
      <w:marBottom w:val="0"/>
      <w:divBdr>
        <w:top w:val="none" w:sz="0" w:space="0" w:color="auto"/>
        <w:left w:val="none" w:sz="0" w:space="0" w:color="auto"/>
        <w:bottom w:val="none" w:sz="0" w:space="0" w:color="auto"/>
        <w:right w:val="none" w:sz="0" w:space="0" w:color="auto"/>
      </w:divBdr>
    </w:div>
    <w:div w:id="156462763">
      <w:bodyDiv w:val="1"/>
      <w:marLeft w:val="0"/>
      <w:marRight w:val="0"/>
      <w:marTop w:val="0"/>
      <w:marBottom w:val="0"/>
      <w:divBdr>
        <w:top w:val="none" w:sz="0" w:space="0" w:color="auto"/>
        <w:left w:val="none" w:sz="0" w:space="0" w:color="auto"/>
        <w:bottom w:val="none" w:sz="0" w:space="0" w:color="auto"/>
        <w:right w:val="none" w:sz="0" w:space="0" w:color="auto"/>
      </w:divBdr>
    </w:div>
    <w:div w:id="175924268">
      <w:bodyDiv w:val="1"/>
      <w:marLeft w:val="0"/>
      <w:marRight w:val="0"/>
      <w:marTop w:val="0"/>
      <w:marBottom w:val="0"/>
      <w:divBdr>
        <w:top w:val="none" w:sz="0" w:space="0" w:color="auto"/>
        <w:left w:val="none" w:sz="0" w:space="0" w:color="auto"/>
        <w:bottom w:val="none" w:sz="0" w:space="0" w:color="auto"/>
        <w:right w:val="none" w:sz="0" w:space="0" w:color="auto"/>
      </w:divBdr>
    </w:div>
    <w:div w:id="181284603">
      <w:bodyDiv w:val="1"/>
      <w:marLeft w:val="0"/>
      <w:marRight w:val="0"/>
      <w:marTop w:val="0"/>
      <w:marBottom w:val="0"/>
      <w:divBdr>
        <w:top w:val="none" w:sz="0" w:space="0" w:color="auto"/>
        <w:left w:val="none" w:sz="0" w:space="0" w:color="auto"/>
        <w:bottom w:val="none" w:sz="0" w:space="0" w:color="auto"/>
        <w:right w:val="none" w:sz="0" w:space="0" w:color="auto"/>
      </w:divBdr>
    </w:div>
    <w:div w:id="184246064">
      <w:bodyDiv w:val="1"/>
      <w:marLeft w:val="0"/>
      <w:marRight w:val="0"/>
      <w:marTop w:val="0"/>
      <w:marBottom w:val="0"/>
      <w:divBdr>
        <w:top w:val="none" w:sz="0" w:space="0" w:color="auto"/>
        <w:left w:val="none" w:sz="0" w:space="0" w:color="auto"/>
        <w:bottom w:val="none" w:sz="0" w:space="0" w:color="auto"/>
        <w:right w:val="none" w:sz="0" w:space="0" w:color="auto"/>
      </w:divBdr>
    </w:div>
    <w:div w:id="184288275">
      <w:bodyDiv w:val="1"/>
      <w:marLeft w:val="0"/>
      <w:marRight w:val="0"/>
      <w:marTop w:val="0"/>
      <w:marBottom w:val="0"/>
      <w:divBdr>
        <w:top w:val="none" w:sz="0" w:space="0" w:color="auto"/>
        <w:left w:val="none" w:sz="0" w:space="0" w:color="auto"/>
        <w:bottom w:val="none" w:sz="0" w:space="0" w:color="auto"/>
        <w:right w:val="none" w:sz="0" w:space="0" w:color="auto"/>
      </w:divBdr>
    </w:div>
    <w:div w:id="193150813">
      <w:bodyDiv w:val="1"/>
      <w:marLeft w:val="0"/>
      <w:marRight w:val="0"/>
      <w:marTop w:val="0"/>
      <w:marBottom w:val="0"/>
      <w:divBdr>
        <w:top w:val="none" w:sz="0" w:space="0" w:color="auto"/>
        <w:left w:val="none" w:sz="0" w:space="0" w:color="auto"/>
        <w:bottom w:val="none" w:sz="0" w:space="0" w:color="auto"/>
        <w:right w:val="none" w:sz="0" w:space="0" w:color="auto"/>
      </w:divBdr>
    </w:div>
    <w:div w:id="203248812">
      <w:bodyDiv w:val="1"/>
      <w:marLeft w:val="0"/>
      <w:marRight w:val="0"/>
      <w:marTop w:val="0"/>
      <w:marBottom w:val="0"/>
      <w:divBdr>
        <w:top w:val="none" w:sz="0" w:space="0" w:color="auto"/>
        <w:left w:val="none" w:sz="0" w:space="0" w:color="auto"/>
        <w:bottom w:val="none" w:sz="0" w:space="0" w:color="auto"/>
        <w:right w:val="none" w:sz="0" w:space="0" w:color="auto"/>
      </w:divBdr>
    </w:div>
    <w:div w:id="207104984">
      <w:bodyDiv w:val="1"/>
      <w:marLeft w:val="0"/>
      <w:marRight w:val="0"/>
      <w:marTop w:val="0"/>
      <w:marBottom w:val="0"/>
      <w:divBdr>
        <w:top w:val="none" w:sz="0" w:space="0" w:color="auto"/>
        <w:left w:val="none" w:sz="0" w:space="0" w:color="auto"/>
        <w:bottom w:val="none" w:sz="0" w:space="0" w:color="auto"/>
        <w:right w:val="none" w:sz="0" w:space="0" w:color="auto"/>
      </w:divBdr>
    </w:div>
    <w:div w:id="214239021">
      <w:bodyDiv w:val="1"/>
      <w:marLeft w:val="0"/>
      <w:marRight w:val="0"/>
      <w:marTop w:val="0"/>
      <w:marBottom w:val="0"/>
      <w:divBdr>
        <w:top w:val="none" w:sz="0" w:space="0" w:color="auto"/>
        <w:left w:val="none" w:sz="0" w:space="0" w:color="auto"/>
        <w:bottom w:val="none" w:sz="0" w:space="0" w:color="auto"/>
        <w:right w:val="none" w:sz="0" w:space="0" w:color="auto"/>
      </w:divBdr>
    </w:div>
    <w:div w:id="216091482">
      <w:bodyDiv w:val="1"/>
      <w:marLeft w:val="0"/>
      <w:marRight w:val="0"/>
      <w:marTop w:val="0"/>
      <w:marBottom w:val="0"/>
      <w:divBdr>
        <w:top w:val="none" w:sz="0" w:space="0" w:color="auto"/>
        <w:left w:val="none" w:sz="0" w:space="0" w:color="auto"/>
        <w:bottom w:val="none" w:sz="0" w:space="0" w:color="auto"/>
        <w:right w:val="none" w:sz="0" w:space="0" w:color="auto"/>
      </w:divBdr>
    </w:div>
    <w:div w:id="217397655">
      <w:bodyDiv w:val="1"/>
      <w:marLeft w:val="0"/>
      <w:marRight w:val="0"/>
      <w:marTop w:val="0"/>
      <w:marBottom w:val="0"/>
      <w:divBdr>
        <w:top w:val="none" w:sz="0" w:space="0" w:color="auto"/>
        <w:left w:val="none" w:sz="0" w:space="0" w:color="auto"/>
        <w:bottom w:val="none" w:sz="0" w:space="0" w:color="auto"/>
        <w:right w:val="none" w:sz="0" w:space="0" w:color="auto"/>
      </w:divBdr>
    </w:div>
    <w:div w:id="232282338">
      <w:bodyDiv w:val="1"/>
      <w:marLeft w:val="0"/>
      <w:marRight w:val="0"/>
      <w:marTop w:val="0"/>
      <w:marBottom w:val="0"/>
      <w:divBdr>
        <w:top w:val="none" w:sz="0" w:space="0" w:color="auto"/>
        <w:left w:val="none" w:sz="0" w:space="0" w:color="auto"/>
        <w:bottom w:val="none" w:sz="0" w:space="0" w:color="auto"/>
        <w:right w:val="none" w:sz="0" w:space="0" w:color="auto"/>
      </w:divBdr>
    </w:div>
    <w:div w:id="236331979">
      <w:bodyDiv w:val="1"/>
      <w:marLeft w:val="0"/>
      <w:marRight w:val="0"/>
      <w:marTop w:val="0"/>
      <w:marBottom w:val="0"/>
      <w:divBdr>
        <w:top w:val="none" w:sz="0" w:space="0" w:color="auto"/>
        <w:left w:val="none" w:sz="0" w:space="0" w:color="auto"/>
        <w:bottom w:val="none" w:sz="0" w:space="0" w:color="auto"/>
        <w:right w:val="none" w:sz="0" w:space="0" w:color="auto"/>
      </w:divBdr>
    </w:div>
    <w:div w:id="251596527">
      <w:bodyDiv w:val="1"/>
      <w:marLeft w:val="0"/>
      <w:marRight w:val="0"/>
      <w:marTop w:val="0"/>
      <w:marBottom w:val="0"/>
      <w:divBdr>
        <w:top w:val="none" w:sz="0" w:space="0" w:color="auto"/>
        <w:left w:val="none" w:sz="0" w:space="0" w:color="auto"/>
        <w:bottom w:val="none" w:sz="0" w:space="0" w:color="auto"/>
        <w:right w:val="none" w:sz="0" w:space="0" w:color="auto"/>
      </w:divBdr>
    </w:div>
    <w:div w:id="253054526">
      <w:bodyDiv w:val="1"/>
      <w:marLeft w:val="0"/>
      <w:marRight w:val="0"/>
      <w:marTop w:val="0"/>
      <w:marBottom w:val="0"/>
      <w:divBdr>
        <w:top w:val="none" w:sz="0" w:space="0" w:color="auto"/>
        <w:left w:val="none" w:sz="0" w:space="0" w:color="auto"/>
        <w:bottom w:val="none" w:sz="0" w:space="0" w:color="auto"/>
        <w:right w:val="none" w:sz="0" w:space="0" w:color="auto"/>
      </w:divBdr>
    </w:div>
    <w:div w:id="255599525">
      <w:bodyDiv w:val="1"/>
      <w:marLeft w:val="0"/>
      <w:marRight w:val="0"/>
      <w:marTop w:val="0"/>
      <w:marBottom w:val="0"/>
      <w:divBdr>
        <w:top w:val="none" w:sz="0" w:space="0" w:color="auto"/>
        <w:left w:val="none" w:sz="0" w:space="0" w:color="auto"/>
        <w:bottom w:val="none" w:sz="0" w:space="0" w:color="auto"/>
        <w:right w:val="none" w:sz="0" w:space="0" w:color="auto"/>
      </w:divBdr>
    </w:div>
    <w:div w:id="258761264">
      <w:bodyDiv w:val="1"/>
      <w:marLeft w:val="0"/>
      <w:marRight w:val="0"/>
      <w:marTop w:val="0"/>
      <w:marBottom w:val="0"/>
      <w:divBdr>
        <w:top w:val="none" w:sz="0" w:space="0" w:color="auto"/>
        <w:left w:val="none" w:sz="0" w:space="0" w:color="auto"/>
        <w:bottom w:val="none" w:sz="0" w:space="0" w:color="auto"/>
        <w:right w:val="none" w:sz="0" w:space="0" w:color="auto"/>
      </w:divBdr>
    </w:div>
    <w:div w:id="260915295">
      <w:bodyDiv w:val="1"/>
      <w:marLeft w:val="0"/>
      <w:marRight w:val="0"/>
      <w:marTop w:val="0"/>
      <w:marBottom w:val="0"/>
      <w:divBdr>
        <w:top w:val="none" w:sz="0" w:space="0" w:color="auto"/>
        <w:left w:val="none" w:sz="0" w:space="0" w:color="auto"/>
        <w:bottom w:val="none" w:sz="0" w:space="0" w:color="auto"/>
        <w:right w:val="none" w:sz="0" w:space="0" w:color="auto"/>
      </w:divBdr>
    </w:div>
    <w:div w:id="271014328">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312412943">
      <w:bodyDiv w:val="1"/>
      <w:marLeft w:val="0"/>
      <w:marRight w:val="0"/>
      <w:marTop w:val="0"/>
      <w:marBottom w:val="0"/>
      <w:divBdr>
        <w:top w:val="none" w:sz="0" w:space="0" w:color="auto"/>
        <w:left w:val="none" w:sz="0" w:space="0" w:color="auto"/>
        <w:bottom w:val="none" w:sz="0" w:space="0" w:color="auto"/>
        <w:right w:val="none" w:sz="0" w:space="0" w:color="auto"/>
      </w:divBdr>
    </w:div>
    <w:div w:id="318734003">
      <w:bodyDiv w:val="1"/>
      <w:marLeft w:val="0"/>
      <w:marRight w:val="0"/>
      <w:marTop w:val="0"/>
      <w:marBottom w:val="0"/>
      <w:divBdr>
        <w:top w:val="none" w:sz="0" w:space="0" w:color="auto"/>
        <w:left w:val="none" w:sz="0" w:space="0" w:color="auto"/>
        <w:bottom w:val="none" w:sz="0" w:space="0" w:color="auto"/>
        <w:right w:val="none" w:sz="0" w:space="0" w:color="auto"/>
      </w:divBdr>
    </w:div>
    <w:div w:id="339746641">
      <w:bodyDiv w:val="1"/>
      <w:marLeft w:val="0"/>
      <w:marRight w:val="0"/>
      <w:marTop w:val="0"/>
      <w:marBottom w:val="0"/>
      <w:divBdr>
        <w:top w:val="none" w:sz="0" w:space="0" w:color="auto"/>
        <w:left w:val="none" w:sz="0" w:space="0" w:color="auto"/>
        <w:bottom w:val="none" w:sz="0" w:space="0" w:color="auto"/>
        <w:right w:val="none" w:sz="0" w:space="0" w:color="auto"/>
      </w:divBdr>
    </w:div>
    <w:div w:id="343359442">
      <w:bodyDiv w:val="1"/>
      <w:marLeft w:val="0"/>
      <w:marRight w:val="0"/>
      <w:marTop w:val="0"/>
      <w:marBottom w:val="0"/>
      <w:divBdr>
        <w:top w:val="none" w:sz="0" w:space="0" w:color="auto"/>
        <w:left w:val="none" w:sz="0" w:space="0" w:color="auto"/>
        <w:bottom w:val="none" w:sz="0" w:space="0" w:color="auto"/>
        <w:right w:val="none" w:sz="0" w:space="0" w:color="auto"/>
      </w:divBdr>
    </w:div>
    <w:div w:id="344331431">
      <w:bodyDiv w:val="1"/>
      <w:marLeft w:val="0"/>
      <w:marRight w:val="0"/>
      <w:marTop w:val="0"/>
      <w:marBottom w:val="0"/>
      <w:divBdr>
        <w:top w:val="none" w:sz="0" w:space="0" w:color="auto"/>
        <w:left w:val="none" w:sz="0" w:space="0" w:color="auto"/>
        <w:bottom w:val="none" w:sz="0" w:space="0" w:color="auto"/>
        <w:right w:val="none" w:sz="0" w:space="0" w:color="auto"/>
      </w:divBdr>
    </w:div>
    <w:div w:id="351340132">
      <w:bodyDiv w:val="1"/>
      <w:marLeft w:val="0"/>
      <w:marRight w:val="0"/>
      <w:marTop w:val="0"/>
      <w:marBottom w:val="0"/>
      <w:divBdr>
        <w:top w:val="none" w:sz="0" w:space="0" w:color="auto"/>
        <w:left w:val="none" w:sz="0" w:space="0" w:color="auto"/>
        <w:bottom w:val="none" w:sz="0" w:space="0" w:color="auto"/>
        <w:right w:val="none" w:sz="0" w:space="0" w:color="auto"/>
      </w:divBdr>
    </w:div>
    <w:div w:id="356539762">
      <w:bodyDiv w:val="1"/>
      <w:marLeft w:val="0"/>
      <w:marRight w:val="0"/>
      <w:marTop w:val="0"/>
      <w:marBottom w:val="0"/>
      <w:divBdr>
        <w:top w:val="none" w:sz="0" w:space="0" w:color="auto"/>
        <w:left w:val="none" w:sz="0" w:space="0" w:color="auto"/>
        <w:bottom w:val="none" w:sz="0" w:space="0" w:color="auto"/>
        <w:right w:val="none" w:sz="0" w:space="0" w:color="auto"/>
      </w:divBdr>
    </w:div>
    <w:div w:id="381638310">
      <w:bodyDiv w:val="1"/>
      <w:marLeft w:val="0"/>
      <w:marRight w:val="0"/>
      <w:marTop w:val="0"/>
      <w:marBottom w:val="0"/>
      <w:divBdr>
        <w:top w:val="none" w:sz="0" w:space="0" w:color="auto"/>
        <w:left w:val="none" w:sz="0" w:space="0" w:color="auto"/>
        <w:bottom w:val="none" w:sz="0" w:space="0" w:color="auto"/>
        <w:right w:val="none" w:sz="0" w:space="0" w:color="auto"/>
      </w:divBdr>
    </w:div>
    <w:div w:id="404114358">
      <w:bodyDiv w:val="1"/>
      <w:marLeft w:val="0"/>
      <w:marRight w:val="0"/>
      <w:marTop w:val="0"/>
      <w:marBottom w:val="0"/>
      <w:divBdr>
        <w:top w:val="none" w:sz="0" w:space="0" w:color="auto"/>
        <w:left w:val="none" w:sz="0" w:space="0" w:color="auto"/>
        <w:bottom w:val="none" w:sz="0" w:space="0" w:color="auto"/>
        <w:right w:val="none" w:sz="0" w:space="0" w:color="auto"/>
      </w:divBdr>
    </w:div>
    <w:div w:id="408037216">
      <w:bodyDiv w:val="1"/>
      <w:marLeft w:val="0"/>
      <w:marRight w:val="0"/>
      <w:marTop w:val="0"/>
      <w:marBottom w:val="0"/>
      <w:divBdr>
        <w:top w:val="none" w:sz="0" w:space="0" w:color="auto"/>
        <w:left w:val="none" w:sz="0" w:space="0" w:color="auto"/>
        <w:bottom w:val="none" w:sz="0" w:space="0" w:color="auto"/>
        <w:right w:val="none" w:sz="0" w:space="0" w:color="auto"/>
      </w:divBdr>
    </w:div>
    <w:div w:id="414941138">
      <w:bodyDiv w:val="1"/>
      <w:marLeft w:val="0"/>
      <w:marRight w:val="0"/>
      <w:marTop w:val="0"/>
      <w:marBottom w:val="0"/>
      <w:divBdr>
        <w:top w:val="none" w:sz="0" w:space="0" w:color="auto"/>
        <w:left w:val="none" w:sz="0" w:space="0" w:color="auto"/>
        <w:bottom w:val="none" w:sz="0" w:space="0" w:color="auto"/>
        <w:right w:val="none" w:sz="0" w:space="0" w:color="auto"/>
      </w:divBdr>
    </w:div>
    <w:div w:id="416438523">
      <w:bodyDiv w:val="1"/>
      <w:marLeft w:val="0"/>
      <w:marRight w:val="0"/>
      <w:marTop w:val="0"/>
      <w:marBottom w:val="0"/>
      <w:divBdr>
        <w:top w:val="none" w:sz="0" w:space="0" w:color="auto"/>
        <w:left w:val="none" w:sz="0" w:space="0" w:color="auto"/>
        <w:bottom w:val="none" w:sz="0" w:space="0" w:color="auto"/>
        <w:right w:val="none" w:sz="0" w:space="0" w:color="auto"/>
      </w:divBdr>
    </w:div>
    <w:div w:id="418406293">
      <w:bodyDiv w:val="1"/>
      <w:marLeft w:val="0"/>
      <w:marRight w:val="0"/>
      <w:marTop w:val="0"/>
      <w:marBottom w:val="0"/>
      <w:divBdr>
        <w:top w:val="none" w:sz="0" w:space="0" w:color="auto"/>
        <w:left w:val="none" w:sz="0" w:space="0" w:color="auto"/>
        <w:bottom w:val="none" w:sz="0" w:space="0" w:color="auto"/>
        <w:right w:val="none" w:sz="0" w:space="0" w:color="auto"/>
      </w:divBdr>
    </w:div>
    <w:div w:id="420956831">
      <w:bodyDiv w:val="1"/>
      <w:marLeft w:val="0"/>
      <w:marRight w:val="0"/>
      <w:marTop w:val="0"/>
      <w:marBottom w:val="0"/>
      <w:divBdr>
        <w:top w:val="none" w:sz="0" w:space="0" w:color="auto"/>
        <w:left w:val="none" w:sz="0" w:space="0" w:color="auto"/>
        <w:bottom w:val="none" w:sz="0" w:space="0" w:color="auto"/>
        <w:right w:val="none" w:sz="0" w:space="0" w:color="auto"/>
      </w:divBdr>
    </w:div>
    <w:div w:id="422652182">
      <w:bodyDiv w:val="1"/>
      <w:marLeft w:val="0"/>
      <w:marRight w:val="0"/>
      <w:marTop w:val="0"/>
      <w:marBottom w:val="0"/>
      <w:divBdr>
        <w:top w:val="none" w:sz="0" w:space="0" w:color="auto"/>
        <w:left w:val="none" w:sz="0" w:space="0" w:color="auto"/>
        <w:bottom w:val="none" w:sz="0" w:space="0" w:color="auto"/>
        <w:right w:val="none" w:sz="0" w:space="0" w:color="auto"/>
      </w:divBdr>
    </w:div>
    <w:div w:id="423380475">
      <w:bodyDiv w:val="1"/>
      <w:marLeft w:val="0"/>
      <w:marRight w:val="0"/>
      <w:marTop w:val="0"/>
      <w:marBottom w:val="0"/>
      <w:divBdr>
        <w:top w:val="none" w:sz="0" w:space="0" w:color="auto"/>
        <w:left w:val="none" w:sz="0" w:space="0" w:color="auto"/>
        <w:bottom w:val="none" w:sz="0" w:space="0" w:color="auto"/>
        <w:right w:val="none" w:sz="0" w:space="0" w:color="auto"/>
      </w:divBdr>
    </w:div>
    <w:div w:id="431364988">
      <w:bodyDiv w:val="1"/>
      <w:marLeft w:val="0"/>
      <w:marRight w:val="0"/>
      <w:marTop w:val="0"/>
      <w:marBottom w:val="0"/>
      <w:divBdr>
        <w:top w:val="none" w:sz="0" w:space="0" w:color="auto"/>
        <w:left w:val="none" w:sz="0" w:space="0" w:color="auto"/>
        <w:bottom w:val="none" w:sz="0" w:space="0" w:color="auto"/>
        <w:right w:val="none" w:sz="0" w:space="0" w:color="auto"/>
      </w:divBdr>
    </w:div>
    <w:div w:id="432172471">
      <w:bodyDiv w:val="1"/>
      <w:marLeft w:val="0"/>
      <w:marRight w:val="0"/>
      <w:marTop w:val="0"/>
      <w:marBottom w:val="0"/>
      <w:divBdr>
        <w:top w:val="none" w:sz="0" w:space="0" w:color="auto"/>
        <w:left w:val="none" w:sz="0" w:space="0" w:color="auto"/>
        <w:bottom w:val="none" w:sz="0" w:space="0" w:color="auto"/>
        <w:right w:val="none" w:sz="0" w:space="0" w:color="auto"/>
      </w:divBdr>
    </w:div>
    <w:div w:id="461535109">
      <w:bodyDiv w:val="1"/>
      <w:marLeft w:val="0"/>
      <w:marRight w:val="0"/>
      <w:marTop w:val="0"/>
      <w:marBottom w:val="0"/>
      <w:divBdr>
        <w:top w:val="none" w:sz="0" w:space="0" w:color="auto"/>
        <w:left w:val="none" w:sz="0" w:space="0" w:color="auto"/>
        <w:bottom w:val="none" w:sz="0" w:space="0" w:color="auto"/>
        <w:right w:val="none" w:sz="0" w:space="0" w:color="auto"/>
      </w:divBdr>
    </w:div>
    <w:div w:id="469059954">
      <w:bodyDiv w:val="1"/>
      <w:marLeft w:val="0"/>
      <w:marRight w:val="0"/>
      <w:marTop w:val="0"/>
      <w:marBottom w:val="0"/>
      <w:divBdr>
        <w:top w:val="none" w:sz="0" w:space="0" w:color="auto"/>
        <w:left w:val="none" w:sz="0" w:space="0" w:color="auto"/>
        <w:bottom w:val="none" w:sz="0" w:space="0" w:color="auto"/>
        <w:right w:val="none" w:sz="0" w:space="0" w:color="auto"/>
      </w:divBdr>
    </w:div>
    <w:div w:id="491721127">
      <w:bodyDiv w:val="1"/>
      <w:marLeft w:val="0"/>
      <w:marRight w:val="0"/>
      <w:marTop w:val="0"/>
      <w:marBottom w:val="0"/>
      <w:divBdr>
        <w:top w:val="none" w:sz="0" w:space="0" w:color="auto"/>
        <w:left w:val="none" w:sz="0" w:space="0" w:color="auto"/>
        <w:bottom w:val="none" w:sz="0" w:space="0" w:color="auto"/>
        <w:right w:val="none" w:sz="0" w:space="0" w:color="auto"/>
      </w:divBdr>
    </w:div>
    <w:div w:id="499925623">
      <w:bodyDiv w:val="1"/>
      <w:marLeft w:val="0"/>
      <w:marRight w:val="0"/>
      <w:marTop w:val="0"/>
      <w:marBottom w:val="0"/>
      <w:divBdr>
        <w:top w:val="none" w:sz="0" w:space="0" w:color="auto"/>
        <w:left w:val="none" w:sz="0" w:space="0" w:color="auto"/>
        <w:bottom w:val="none" w:sz="0" w:space="0" w:color="auto"/>
        <w:right w:val="none" w:sz="0" w:space="0" w:color="auto"/>
      </w:divBdr>
    </w:div>
    <w:div w:id="506098533">
      <w:bodyDiv w:val="1"/>
      <w:marLeft w:val="0"/>
      <w:marRight w:val="0"/>
      <w:marTop w:val="0"/>
      <w:marBottom w:val="0"/>
      <w:divBdr>
        <w:top w:val="none" w:sz="0" w:space="0" w:color="auto"/>
        <w:left w:val="none" w:sz="0" w:space="0" w:color="auto"/>
        <w:bottom w:val="none" w:sz="0" w:space="0" w:color="auto"/>
        <w:right w:val="none" w:sz="0" w:space="0" w:color="auto"/>
      </w:divBdr>
    </w:div>
    <w:div w:id="507982840">
      <w:bodyDiv w:val="1"/>
      <w:marLeft w:val="0"/>
      <w:marRight w:val="0"/>
      <w:marTop w:val="0"/>
      <w:marBottom w:val="0"/>
      <w:divBdr>
        <w:top w:val="none" w:sz="0" w:space="0" w:color="auto"/>
        <w:left w:val="none" w:sz="0" w:space="0" w:color="auto"/>
        <w:bottom w:val="none" w:sz="0" w:space="0" w:color="auto"/>
        <w:right w:val="none" w:sz="0" w:space="0" w:color="auto"/>
      </w:divBdr>
    </w:div>
    <w:div w:id="510725196">
      <w:bodyDiv w:val="1"/>
      <w:marLeft w:val="0"/>
      <w:marRight w:val="0"/>
      <w:marTop w:val="0"/>
      <w:marBottom w:val="0"/>
      <w:divBdr>
        <w:top w:val="none" w:sz="0" w:space="0" w:color="auto"/>
        <w:left w:val="none" w:sz="0" w:space="0" w:color="auto"/>
        <w:bottom w:val="none" w:sz="0" w:space="0" w:color="auto"/>
        <w:right w:val="none" w:sz="0" w:space="0" w:color="auto"/>
      </w:divBdr>
    </w:div>
    <w:div w:id="518393312">
      <w:bodyDiv w:val="1"/>
      <w:marLeft w:val="0"/>
      <w:marRight w:val="0"/>
      <w:marTop w:val="0"/>
      <w:marBottom w:val="0"/>
      <w:divBdr>
        <w:top w:val="none" w:sz="0" w:space="0" w:color="auto"/>
        <w:left w:val="none" w:sz="0" w:space="0" w:color="auto"/>
        <w:bottom w:val="none" w:sz="0" w:space="0" w:color="auto"/>
        <w:right w:val="none" w:sz="0" w:space="0" w:color="auto"/>
      </w:divBdr>
    </w:div>
    <w:div w:id="521169670">
      <w:bodyDiv w:val="1"/>
      <w:marLeft w:val="0"/>
      <w:marRight w:val="0"/>
      <w:marTop w:val="0"/>
      <w:marBottom w:val="0"/>
      <w:divBdr>
        <w:top w:val="none" w:sz="0" w:space="0" w:color="auto"/>
        <w:left w:val="none" w:sz="0" w:space="0" w:color="auto"/>
        <w:bottom w:val="none" w:sz="0" w:space="0" w:color="auto"/>
        <w:right w:val="none" w:sz="0" w:space="0" w:color="auto"/>
      </w:divBdr>
    </w:div>
    <w:div w:id="524439741">
      <w:bodyDiv w:val="1"/>
      <w:marLeft w:val="0"/>
      <w:marRight w:val="0"/>
      <w:marTop w:val="0"/>
      <w:marBottom w:val="0"/>
      <w:divBdr>
        <w:top w:val="none" w:sz="0" w:space="0" w:color="auto"/>
        <w:left w:val="none" w:sz="0" w:space="0" w:color="auto"/>
        <w:bottom w:val="none" w:sz="0" w:space="0" w:color="auto"/>
        <w:right w:val="none" w:sz="0" w:space="0" w:color="auto"/>
      </w:divBdr>
    </w:div>
    <w:div w:id="524558662">
      <w:bodyDiv w:val="1"/>
      <w:marLeft w:val="0"/>
      <w:marRight w:val="0"/>
      <w:marTop w:val="0"/>
      <w:marBottom w:val="0"/>
      <w:divBdr>
        <w:top w:val="none" w:sz="0" w:space="0" w:color="auto"/>
        <w:left w:val="none" w:sz="0" w:space="0" w:color="auto"/>
        <w:bottom w:val="none" w:sz="0" w:space="0" w:color="auto"/>
        <w:right w:val="none" w:sz="0" w:space="0" w:color="auto"/>
      </w:divBdr>
    </w:div>
    <w:div w:id="532110927">
      <w:bodyDiv w:val="1"/>
      <w:marLeft w:val="0"/>
      <w:marRight w:val="0"/>
      <w:marTop w:val="0"/>
      <w:marBottom w:val="0"/>
      <w:divBdr>
        <w:top w:val="none" w:sz="0" w:space="0" w:color="auto"/>
        <w:left w:val="none" w:sz="0" w:space="0" w:color="auto"/>
        <w:bottom w:val="none" w:sz="0" w:space="0" w:color="auto"/>
        <w:right w:val="none" w:sz="0" w:space="0" w:color="auto"/>
      </w:divBdr>
    </w:div>
    <w:div w:id="533347311">
      <w:bodyDiv w:val="1"/>
      <w:marLeft w:val="0"/>
      <w:marRight w:val="0"/>
      <w:marTop w:val="0"/>
      <w:marBottom w:val="0"/>
      <w:divBdr>
        <w:top w:val="none" w:sz="0" w:space="0" w:color="auto"/>
        <w:left w:val="none" w:sz="0" w:space="0" w:color="auto"/>
        <w:bottom w:val="none" w:sz="0" w:space="0" w:color="auto"/>
        <w:right w:val="none" w:sz="0" w:space="0" w:color="auto"/>
      </w:divBdr>
    </w:div>
    <w:div w:id="536088636">
      <w:bodyDiv w:val="1"/>
      <w:marLeft w:val="0"/>
      <w:marRight w:val="0"/>
      <w:marTop w:val="0"/>
      <w:marBottom w:val="0"/>
      <w:divBdr>
        <w:top w:val="none" w:sz="0" w:space="0" w:color="auto"/>
        <w:left w:val="none" w:sz="0" w:space="0" w:color="auto"/>
        <w:bottom w:val="none" w:sz="0" w:space="0" w:color="auto"/>
        <w:right w:val="none" w:sz="0" w:space="0" w:color="auto"/>
      </w:divBdr>
    </w:div>
    <w:div w:id="541482381">
      <w:bodyDiv w:val="1"/>
      <w:marLeft w:val="0"/>
      <w:marRight w:val="0"/>
      <w:marTop w:val="0"/>
      <w:marBottom w:val="0"/>
      <w:divBdr>
        <w:top w:val="none" w:sz="0" w:space="0" w:color="auto"/>
        <w:left w:val="none" w:sz="0" w:space="0" w:color="auto"/>
        <w:bottom w:val="none" w:sz="0" w:space="0" w:color="auto"/>
        <w:right w:val="none" w:sz="0" w:space="0" w:color="auto"/>
      </w:divBdr>
    </w:div>
    <w:div w:id="545795700">
      <w:bodyDiv w:val="1"/>
      <w:marLeft w:val="0"/>
      <w:marRight w:val="0"/>
      <w:marTop w:val="0"/>
      <w:marBottom w:val="0"/>
      <w:divBdr>
        <w:top w:val="none" w:sz="0" w:space="0" w:color="auto"/>
        <w:left w:val="none" w:sz="0" w:space="0" w:color="auto"/>
        <w:bottom w:val="none" w:sz="0" w:space="0" w:color="auto"/>
        <w:right w:val="none" w:sz="0" w:space="0" w:color="auto"/>
      </w:divBdr>
    </w:div>
    <w:div w:id="550846583">
      <w:bodyDiv w:val="1"/>
      <w:marLeft w:val="0"/>
      <w:marRight w:val="0"/>
      <w:marTop w:val="0"/>
      <w:marBottom w:val="0"/>
      <w:divBdr>
        <w:top w:val="none" w:sz="0" w:space="0" w:color="auto"/>
        <w:left w:val="none" w:sz="0" w:space="0" w:color="auto"/>
        <w:bottom w:val="none" w:sz="0" w:space="0" w:color="auto"/>
        <w:right w:val="none" w:sz="0" w:space="0" w:color="auto"/>
      </w:divBdr>
    </w:div>
    <w:div w:id="553853765">
      <w:bodyDiv w:val="1"/>
      <w:marLeft w:val="0"/>
      <w:marRight w:val="0"/>
      <w:marTop w:val="0"/>
      <w:marBottom w:val="0"/>
      <w:divBdr>
        <w:top w:val="none" w:sz="0" w:space="0" w:color="auto"/>
        <w:left w:val="none" w:sz="0" w:space="0" w:color="auto"/>
        <w:bottom w:val="none" w:sz="0" w:space="0" w:color="auto"/>
        <w:right w:val="none" w:sz="0" w:space="0" w:color="auto"/>
      </w:divBdr>
    </w:div>
    <w:div w:id="556473979">
      <w:bodyDiv w:val="1"/>
      <w:marLeft w:val="0"/>
      <w:marRight w:val="0"/>
      <w:marTop w:val="0"/>
      <w:marBottom w:val="0"/>
      <w:divBdr>
        <w:top w:val="none" w:sz="0" w:space="0" w:color="auto"/>
        <w:left w:val="none" w:sz="0" w:space="0" w:color="auto"/>
        <w:bottom w:val="none" w:sz="0" w:space="0" w:color="auto"/>
        <w:right w:val="none" w:sz="0" w:space="0" w:color="auto"/>
      </w:divBdr>
    </w:div>
    <w:div w:id="560822512">
      <w:bodyDiv w:val="1"/>
      <w:marLeft w:val="0"/>
      <w:marRight w:val="0"/>
      <w:marTop w:val="0"/>
      <w:marBottom w:val="0"/>
      <w:divBdr>
        <w:top w:val="none" w:sz="0" w:space="0" w:color="auto"/>
        <w:left w:val="none" w:sz="0" w:space="0" w:color="auto"/>
        <w:bottom w:val="none" w:sz="0" w:space="0" w:color="auto"/>
        <w:right w:val="none" w:sz="0" w:space="0" w:color="auto"/>
      </w:divBdr>
    </w:div>
    <w:div w:id="569190479">
      <w:bodyDiv w:val="1"/>
      <w:marLeft w:val="0"/>
      <w:marRight w:val="0"/>
      <w:marTop w:val="0"/>
      <w:marBottom w:val="0"/>
      <w:divBdr>
        <w:top w:val="none" w:sz="0" w:space="0" w:color="auto"/>
        <w:left w:val="none" w:sz="0" w:space="0" w:color="auto"/>
        <w:bottom w:val="none" w:sz="0" w:space="0" w:color="auto"/>
        <w:right w:val="none" w:sz="0" w:space="0" w:color="auto"/>
      </w:divBdr>
    </w:div>
    <w:div w:id="576013899">
      <w:bodyDiv w:val="1"/>
      <w:marLeft w:val="0"/>
      <w:marRight w:val="0"/>
      <w:marTop w:val="0"/>
      <w:marBottom w:val="0"/>
      <w:divBdr>
        <w:top w:val="none" w:sz="0" w:space="0" w:color="auto"/>
        <w:left w:val="none" w:sz="0" w:space="0" w:color="auto"/>
        <w:bottom w:val="none" w:sz="0" w:space="0" w:color="auto"/>
        <w:right w:val="none" w:sz="0" w:space="0" w:color="auto"/>
      </w:divBdr>
    </w:div>
    <w:div w:id="581716613">
      <w:bodyDiv w:val="1"/>
      <w:marLeft w:val="0"/>
      <w:marRight w:val="0"/>
      <w:marTop w:val="0"/>
      <w:marBottom w:val="0"/>
      <w:divBdr>
        <w:top w:val="none" w:sz="0" w:space="0" w:color="auto"/>
        <w:left w:val="none" w:sz="0" w:space="0" w:color="auto"/>
        <w:bottom w:val="none" w:sz="0" w:space="0" w:color="auto"/>
        <w:right w:val="none" w:sz="0" w:space="0" w:color="auto"/>
      </w:divBdr>
    </w:div>
    <w:div w:id="588464877">
      <w:bodyDiv w:val="1"/>
      <w:marLeft w:val="0"/>
      <w:marRight w:val="0"/>
      <w:marTop w:val="0"/>
      <w:marBottom w:val="0"/>
      <w:divBdr>
        <w:top w:val="none" w:sz="0" w:space="0" w:color="auto"/>
        <w:left w:val="none" w:sz="0" w:space="0" w:color="auto"/>
        <w:bottom w:val="none" w:sz="0" w:space="0" w:color="auto"/>
        <w:right w:val="none" w:sz="0" w:space="0" w:color="auto"/>
      </w:divBdr>
    </w:div>
    <w:div w:id="595478238">
      <w:bodyDiv w:val="1"/>
      <w:marLeft w:val="0"/>
      <w:marRight w:val="0"/>
      <w:marTop w:val="0"/>
      <w:marBottom w:val="0"/>
      <w:divBdr>
        <w:top w:val="none" w:sz="0" w:space="0" w:color="auto"/>
        <w:left w:val="none" w:sz="0" w:space="0" w:color="auto"/>
        <w:bottom w:val="none" w:sz="0" w:space="0" w:color="auto"/>
        <w:right w:val="none" w:sz="0" w:space="0" w:color="auto"/>
      </w:divBdr>
    </w:div>
    <w:div w:id="597909041">
      <w:bodyDiv w:val="1"/>
      <w:marLeft w:val="0"/>
      <w:marRight w:val="0"/>
      <w:marTop w:val="0"/>
      <w:marBottom w:val="0"/>
      <w:divBdr>
        <w:top w:val="none" w:sz="0" w:space="0" w:color="auto"/>
        <w:left w:val="none" w:sz="0" w:space="0" w:color="auto"/>
        <w:bottom w:val="none" w:sz="0" w:space="0" w:color="auto"/>
        <w:right w:val="none" w:sz="0" w:space="0" w:color="auto"/>
      </w:divBdr>
    </w:div>
    <w:div w:id="603416448">
      <w:bodyDiv w:val="1"/>
      <w:marLeft w:val="0"/>
      <w:marRight w:val="0"/>
      <w:marTop w:val="0"/>
      <w:marBottom w:val="0"/>
      <w:divBdr>
        <w:top w:val="none" w:sz="0" w:space="0" w:color="auto"/>
        <w:left w:val="none" w:sz="0" w:space="0" w:color="auto"/>
        <w:bottom w:val="none" w:sz="0" w:space="0" w:color="auto"/>
        <w:right w:val="none" w:sz="0" w:space="0" w:color="auto"/>
      </w:divBdr>
    </w:div>
    <w:div w:id="607589660">
      <w:bodyDiv w:val="1"/>
      <w:marLeft w:val="0"/>
      <w:marRight w:val="0"/>
      <w:marTop w:val="0"/>
      <w:marBottom w:val="0"/>
      <w:divBdr>
        <w:top w:val="none" w:sz="0" w:space="0" w:color="auto"/>
        <w:left w:val="none" w:sz="0" w:space="0" w:color="auto"/>
        <w:bottom w:val="none" w:sz="0" w:space="0" w:color="auto"/>
        <w:right w:val="none" w:sz="0" w:space="0" w:color="auto"/>
      </w:divBdr>
    </w:div>
    <w:div w:id="618490842">
      <w:bodyDiv w:val="1"/>
      <w:marLeft w:val="0"/>
      <w:marRight w:val="0"/>
      <w:marTop w:val="0"/>
      <w:marBottom w:val="0"/>
      <w:divBdr>
        <w:top w:val="none" w:sz="0" w:space="0" w:color="auto"/>
        <w:left w:val="none" w:sz="0" w:space="0" w:color="auto"/>
        <w:bottom w:val="none" w:sz="0" w:space="0" w:color="auto"/>
        <w:right w:val="none" w:sz="0" w:space="0" w:color="auto"/>
      </w:divBdr>
    </w:div>
    <w:div w:id="623200324">
      <w:bodyDiv w:val="1"/>
      <w:marLeft w:val="0"/>
      <w:marRight w:val="0"/>
      <w:marTop w:val="0"/>
      <w:marBottom w:val="0"/>
      <w:divBdr>
        <w:top w:val="none" w:sz="0" w:space="0" w:color="auto"/>
        <w:left w:val="none" w:sz="0" w:space="0" w:color="auto"/>
        <w:bottom w:val="none" w:sz="0" w:space="0" w:color="auto"/>
        <w:right w:val="none" w:sz="0" w:space="0" w:color="auto"/>
      </w:divBdr>
    </w:div>
    <w:div w:id="625089237">
      <w:bodyDiv w:val="1"/>
      <w:marLeft w:val="0"/>
      <w:marRight w:val="0"/>
      <w:marTop w:val="0"/>
      <w:marBottom w:val="0"/>
      <w:divBdr>
        <w:top w:val="none" w:sz="0" w:space="0" w:color="auto"/>
        <w:left w:val="none" w:sz="0" w:space="0" w:color="auto"/>
        <w:bottom w:val="none" w:sz="0" w:space="0" w:color="auto"/>
        <w:right w:val="none" w:sz="0" w:space="0" w:color="auto"/>
      </w:divBdr>
    </w:div>
    <w:div w:id="625965648">
      <w:bodyDiv w:val="1"/>
      <w:marLeft w:val="0"/>
      <w:marRight w:val="0"/>
      <w:marTop w:val="0"/>
      <w:marBottom w:val="0"/>
      <w:divBdr>
        <w:top w:val="none" w:sz="0" w:space="0" w:color="auto"/>
        <w:left w:val="none" w:sz="0" w:space="0" w:color="auto"/>
        <w:bottom w:val="none" w:sz="0" w:space="0" w:color="auto"/>
        <w:right w:val="none" w:sz="0" w:space="0" w:color="auto"/>
      </w:divBdr>
    </w:div>
    <w:div w:id="635765648">
      <w:bodyDiv w:val="1"/>
      <w:marLeft w:val="0"/>
      <w:marRight w:val="0"/>
      <w:marTop w:val="0"/>
      <w:marBottom w:val="0"/>
      <w:divBdr>
        <w:top w:val="none" w:sz="0" w:space="0" w:color="auto"/>
        <w:left w:val="none" w:sz="0" w:space="0" w:color="auto"/>
        <w:bottom w:val="none" w:sz="0" w:space="0" w:color="auto"/>
        <w:right w:val="none" w:sz="0" w:space="0" w:color="auto"/>
      </w:divBdr>
    </w:div>
    <w:div w:id="636371636">
      <w:bodyDiv w:val="1"/>
      <w:marLeft w:val="0"/>
      <w:marRight w:val="0"/>
      <w:marTop w:val="0"/>
      <w:marBottom w:val="0"/>
      <w:divBdr>
        <w:top w:val="none" w:sz="0" w:space="0" w:color="auto"/>
        <w:left w:val="none" w:sz="0" w:space="0" w:color="auto"/>
        <w:bottom w:val="none" w:sz="0" w:space="0" w:color="auto"/>
        <w:right w:val="none" w:sz="0" w:space="0" w:color="auto"/>
      </w:divBdr>
    </w:div>
    <w:div w:id="642853345">
      <w:bodyDiv w:val="1"/>
      <w:marLeft w:val="0"/>
      <w:marRight w:val="0"/>
      <w:marTop w:val="0"/>
      <w:marBottom w:val="0"/>
      <w:divBdr>
        <w:top w:val="none" w:sz="0" w:space="0" w:color="auto"/>
        <w:left w:val="none" w:sz="0" w:space="0" w:color="auto"/>
        <w:bottom w:val="none" w:sz="0" w:space="0" w:color="auto"/>
        <w:right w:val="none" w:sz="0" w:space="0" w:color="auto"/>
      </w:divBdr>
    </w:div>
    <w:div w:id="644165221">
      <w:bodyDiv w:val="1"/>
      <w:marLeft w:val="0"/>
      <w:marRight w:val="0"/>
      <w:marTop w:val="0"/>
      <w:marBottom w:val="0"/>
      <w:divBdr>
        <w:top w:val="none" w:sz="0" w:space="0" w:color="auto"/>
        <w:left w:val="none" w:sz="0" w:space="0" w:color="auto"/>
        <w:bottom w:val="none" w:sz="0" w:space="0" w:color="auto"/>
        <w:right w:val="none" w:sz="0" w:space="0" w:color="auto"/>
      </w:divBdr>
    </w:div>
    <w:div w:id="663431995">
      <w:bodyDiv w:val="1"/>
      <w:marLeft w:val="0"/>
      <w:marRight w:val="0"/>
      <w:marTop w:val="0"/>
      <w:marBottom w:val="0"/>
      <w:divBdr>
        <w:top w:val="none" w:sz="0" w:space="0" w:color="auto"/>
        <w:left w:val="none" w:sz="0" w:space="0" w:color="auto"/>
        <w:bottom w:val="none" w:sz="0" w:space="0" w:color="auto"/>
        <w:right w:val="none" w:sz="0" w:space="0" w:color="auto"/>
      </w:divBdr>
    </w:div>
    <w:div w:id="664357678">
      <w:bodyDiv w:val="1"/>
      <w:marLeft w:val="0"/>
      <w:marRight w:val="0"/>
      <w:marTop w:val="0"/>
      <w:marBottom w:val="0"/>
      <w:divBdr>
        <w:top w:val="none" w:sz="0" w:space="0" w:color="auto"/>
        <w:left w:val="none" w:sz="0" w:space="0" w:color="auto"/>
        <w:bottom w:val="none" w:sz="0" w:space="0" w:color="auto"/>
        <w:right w:val="none" w:sz="0" w:space="0" w:color="auto"/>
      </w:divBdr>
    </w:div>
    <w:div w:id="687609791">
      <w:bodyDiv w:val="1"/>
      <w:marLeft w:val="0"/>
      <w:marRight w:val="0"/>
      <w:marTop w:val="0"/>
      <w:marBottom w:val="0"/>
      <w:divBdr>
        <w:top w:val="none" w:sz="0" w:space="0" w:color="auto"/>
        <w:left w:val="none" w:sz="0" w:space="0" w:color="auto"/>
        <w:bottom w:val="none" w:sz="0" w:space="0" w:color="auto"/>
        <w:right w:val="none" w:sz="0" w:space="0" w:color="auto"/>
      </w:divBdr>
    </w:div>
    <w:div w:id="690035340">
      <w:bodyDiv w:val="1"/>
      <w:marLeft w:val="0"/>
      <w:marRight w:val="0"/>
      <w:marTop w:val="0"/>
      <w:marBottom w:val="0"/>
      <w:divBdr>
        <w:top w:val="none" w:sz="0" w:space="0" w:color="auto"/>
        <w:left w:val="none" w:sz="0" w:space="0" w:color="auto"/>
        <w:bottom w:val="none" w:sz="0" w:space="0" w:color="auto"/>
        <w:right w:val="none" w:sz="0" w:space="0" w:color="auto"/>
      </w:divBdr>
    </w:div>
    <w:div w:id="699478047">
      <w:bodyDiv w:val="1"/>
      <w:marLeft w:val="0"/>
      <w:marRight w:val="0"/>
      <w:marTop w:val="0"/>
      <w:marBottom w:val="0"/>
      <w:divBdr>
        <w:top w:val="none" w:sz="0" w:space="0" w:color="auto"/>
        <w:left w:val="none" w:sz="0" w:space="0" w:color="auto"/>
        <w:bottom w:val="none" w:sz="0" w:space="0" w:color="auto"/>
        <w:right w:val="none" w:sz="0" w:space="0" w:color="auto"/>
      </w:divBdr>
    </w:div>
    <w:div w:id="699891655">
      <w:bodyDiv w:val="1"/>
      <w:marLeft w:val="0"/>
      <w:marRight w:val="0"/>
      <w:marTop w:val="0"/>
      <w:marBottom w:val="0"/>
      <w:divBdr>
        <w:top w:val="none" w:sz="0" w:space="0" w:color="auto"/>
        <w:left w:val="none" w:sz="0" w:space="0" w:color="auto"/>
        <w:bottom w:val="none" w:sz="0" w:space="0" w:color="auto"/>
        <w:right w:val="none" w:sz="0" w:space="0" w:color="auto"/>
      </w:divBdr>
    </w:div>
    <w:div w:id="700939208">
      <w:bodyDiv w:val="1"/>
      <w:marLeft w:val="0"/>
      <w:marRight w:val="0"/>
      <w:marTop w:val="0"/>
      <w:marBottom w:val="0"/>
      <w:divBdr>
        <w:top w:val="none" w:sz="0" w:space="0" w:color="auto"/>
        <w:left w:val="none" w:sz="0" w:space="0" w:color="auto"/>
        <w:bottom w:val="none" w:sz="0" w:space="0" w:color="auto"/>
        <w:right w:val="none" w:sz="0" w:space="0" w:color="auto"/>
      </w:divBdr>
    </w:div>
    <w:div w:id="704477351">
      <w:bodyDiv w:val="1"/>
      <w:marLeft w:val="0"/>
      <w:marRight w:val="0"/>
      <w:marTop w:val="0"/>
      <w:marBottom w:val="0"/>
      <w:divBdr>
        <w:top w:val="none" w:sz="0" w:space="0" w:color="auto"/>
        <w:left w:val="none" w:sz="0" w:space="0" w:color="auto"/>
        <w:bottom w:val="none" w:sz="0" w:space="0" w:color="auto"/>
        <w:right w:val="none" w:sz="0" w:space="0" w:color="auto"/>
      </w:divBdr>
    </w:div>
    <w:div w:id="705182640">
      <w:bodyDiv w:val="1"/>
      <w:marLeft w:val="0"/>
      <w:marRight w:val="0"/>
      <w:marTop w:val="0"/>
      <w:marBottom w:val="0"/>
      <w:divBdr>
        <w:top w:val="none" w:sz="0" w:space="0" w:color="auto"/>
        <w:left w:val="none" w:sz="0" w:space="0" w:color="auto"/>
        <w:bottom w:val="none" w:sz="0" w:space="0" w:color="auto"/>
        <w:right w:val="none" w:sz="0" w:space="0" w:color="auto"/>
      </w:divBdr>
    </w:div>
    <w:div w:id="717240531">
      <w:bodyDiv w:val="1"/>
      <w:marLeft w:val="0"/>
      <w:marRight w:val="0"/>
      <w:marTop w:val="0"/>
      <w:marBottom w:val="0"/>
      <w:divBdr>
        <w:top w:val="none" w:sz="0" w:space="0" w:color="auto"/>
        <w:left w:val="none" w:sz="0" w:space="0" w:color="auto"/>
        <w:bottom w:val="none" w:sz="0" w:space="0" w:color="auto"/>
        <w:right w:val="none" w:sz="0" w:space="0" w:color="auto"/>
      </w:divBdr>
    </w:div>
    <w:div w:id="733623266">
      <w:bodyDiv w:val="1"/>
      <w:marLeft w:val="0"/>
      <w:marRight w:val="0"/>
      <w:marTop w:val="0"/>
      <w:marBottom w:val="0"/>
      <w:divBdr>
        <w:top w:val="none" w:sz="0" w:space="0" w:color="auto"/>
        <w:left w:val="none" w:sz="0" w:space="0" w:color="auto"/>
        <w:bottom w:val="none" w:sz="0" w:space="0" w:color="auto"/>
        <w:right w:val="none" w:sz="0" w:space="0" w:color="auto"/>
      </w:divBdr>
    </w:div>
    <w:div w:id="734398258">
      <w:bodyDiv w:val="1"/>
      <w:marLeft w:val="0"/>
      <w:marRight w:val="0"/>
      <w:marTop w:val="0"/>
      <w:marBottom w:val="0"/>
      <w:divBdr>
        <w:top w:val="none" w:sz="0" w:space="0" w:color="auto"/>
        <w:left w:val="none" w:sz="0" w:space="0" w:color="auto"/>
        <w:bottom w:val="none" w:sz="0" w:space="0" w:color="auto"/>
        <w:right w:val="none" w:sz="0" w:space="0" w:color="auto"/>
      </w:divBdr>
    </w:div>
    <w:div w:id="745760122">
      <w:bodyDiv w:val="1"/>
      <w:marLeft w:val="0"/>
      <w:marRight w:val="0"/>
      <w:marTop w:val="0"/>
      <w:marBottom w:val="0"/>
      <w:divBdr>
        <w:top w:val="none" w:sz="0" w:space="0" w:color="auto"/>
        <w:left w:val="none" w:sz="0" w:space="0" w:color="auto"/>
        <w:bottom w:val="none" w:sz="0" w:space="0" w:color="auto"/>
        <w:right w:val="none" w:sz="0" w:space="0" w:color="auto"/>
      </w:divBdr>
    </w:div>
    <w:div w:id="768700089">
      <w:bodyDiv w:val="1"/>
      <w:marLeft w:val="0"/>
      <w:marRight w:val="0"/>
      <w:marTop w:val="0"/>
      <w:marBottom w:val="0"/>
      <w:divBdr>
        <w:top w:val="none" w:sz="0" w:space="0" w:color="auto"/>
        <w:left w:val="none" w:sz="0" w:space="0" w:color="auto"/>
        <w:bottom w:val="none" w:sz="0" w:space="0" w:color="auto"/>
        <w:right w:val="none" w:sz="0" w:space="0" w:color="auto"/>
      </w:divBdr>
    </w:div>
    <w:div w:id="796996698">
      <w:bodyDiv w:val="1"/>
      <w:marLeft w:val="0"/>
      <w:marRight w:val="0"/>
      <w:marTop w:val="0"/>
      <w:marBottom w:val="0"/>
      <w:divBdr>
        <w:top w:val="none" w:sz="0" w:space="0" w:color="auto"/>
        <w:left w:val="none" w:sz="0" w:space="0" w:color="auto"/>
        <w:bottom w:val="none" w:sz="0" w:space="0" w:color="auto"/>
        <w:right w:val="none" w:sz="0" w:space="0" w:color="auto"/>
      </w:divBdr>
    </w:div>
    <w:div w:id="800726069">
      <w:bodyDiv w:val="1"/>
      <w:marLeft w:val="0"/>
      <w:marRight w:val="0"/>
      <w:marTop w:val="0"/>
      <w:marBottom w:val="0"/>
      <w:divBdr>
        <w:top w:val="none" w:sz="0" w:space="0" w:color="auto"/>
        <w:left w:val="none" w:sz="0" w:space="0" w:color="auto"/>
        <w:bottom w:val="none" w:sz="0" w:space="0" w:color="auto"/>
        <w:right w:val="none" w:sz="0" w:space="0" w:color="auto"/>
      </w:divBdr>
    </w:div>
    <w:div w:id="814563681">
      <w:bodyDiv w:val="1"/>
      <w:marLeft w:val="0"/>
      <w:marRight w:val="0"/>
      <w:marTop w:val="0"/>
      <w:marBottom w:val="0"/>
      <w:divBdr>
        <w:top w:val="none" w:sz="0" w:space="0" w:color="auto"/>
        <w:left w:val="none" w:sz="0" w:space="0" w:color="auto"/>
        <w:bottom w:val="none" w:sz="0" w:space="0" w:color="auto"/>
        <w:right w:val="none" w:sz="0" w:space="0" w:color="auto"/>
      </w:divBdr>
    </w:div>
    <w:div w:id="818613311">
      <w:bodyDiv w:val="1"/>
      <w:marLeft w:val="0"/>
      <w:marRight w:val="0"/>
      <w:marTop w:val="0"/>
      <w:marBottom w:val="0"/>
      <w:divBdr>
        <w:top w:val="none" w:sz="0" w:space="0" w:color="auto"/>
        <w:left w:val="none" w:sz="0" w:space="0" w:color="auto"/>
        <w:bottom w:val="none" w:sz="0" w:space="0" w:color="auto"/>
        <w:right w:val="none" w:sz="0" w:space="0" w:color="auto"/>
      </w:divBdr>
    </w:div>
    <w:div w:id="823663346">
      <w:bodyDiv w:val="1"/>
      <w:marLeft w:val="0"/>
      <w:marRight w:val="0"/>
      <w:marTop w:val="0"/>
      <w:marBottom w:val="0"/>
      <w:divBdr>
        <w:top w:val="none" w:sz="0" w:space="0" w:color="auto"/>
        <w:left w:val="none" w:sz="0" w:space="0" w:color="auto"/>
        <w:bottom w:val="none" w:sz="0" w:space="0" w:color="auto"/>
        <w:right w:val="none" w:sz="0" w:space="0" w:color="auto"/>
      </w:divBdr>
    </w:div>
    <w:div w:id="832643899">
      <w:bodyDiv w:val="1"/>
      <w:marLeft w:val="0"/>
      <w:marRight w:val="0"/>
      <w:marTop w:val="0"/>
      <w:marBottom w:val="0"/>
      <w:divBdr>
        <w:top w:val="none" w:sz="0" w:space="0" w:color="auto"/>
        <w:left w:val="none" w:sz="0" w:space="0" w:color="auto"/>
        <w:bottom w:val="none" w:sz="0" w:space="0" w:color="auto"/>
        <w:right w:val="none" w:sz="0" w:space="0" w:color="auto"/>
      </w:divBdr>
    </w:div>
    <w:div w:id="836501879">
      <w:bodyDiv w:val="1"/>
      <w:marLeft w:val="0"/>
      <w:marRight w:val="0"/>
      <w:marTop w:val="0"/>
      <w:marBottom w:val="0"/>
      <w:divBdr>
        <w:top w:val="none" w:sz="0" w:space="0" w:color="auto"/>
        <w:left w:val="none" w:sz="0" w:space="0" w:color="auto"/>
        <w:bottom w:val="none" w:sz="0" w:space="0" w:color="auto"/>
        <w:right w:val="none" w:sz="0" w:space="0" w:color="auto"/>
      </w:divBdr>
    </w:div>
    <w:div w:id="843979238">
      <w:bodyDiv w:val="1"/>
      <w:marLeft w:val="0"/>
      <w:marRight w:val="0"/>
      <w:marTop w:val="0"/>
      <w:marBottom w:val="0"/>
      <w:divBdr>
        <w:top w:val="none" w:sz="0" w:space="0" w:color="auto"/>
        <w:left w:val="none" w:sz="0" w:space="0" w:color="auto"/>
        <w:bottom w:val="none" w:sz="0" w:space="0" w:color="auto"/>
        <w:right w:val="none" w:sz="0" w:space="0" w:color="auto"/>
      </w:divBdr>
    </w:div>
    <w:div w:id="844594500">
      <w:bodyDiv w:val="1"/>
      <w:marLeft w:val="0"/>
      <w:marRight w:val="0"/>
      <w:marTop w:val="0"/>
      <w:marBottom w:val="0"/>
      <w:divBdr>
        <w:top w:val="none" w:sz="0" w:space="0" w:color="auto"/>
        <w:left w:val="none" w:sz="0" w:space="0" w:color="auto"/>
        <w:bottom w:val="none" w:sz="0" w:space="0" w:color="auto"/>
        <w:right w:val="none" w:sz="0" w:space="0" w:color="auto"/>
      </w:divBdr>
    </w:div>
    <w:div w:id="845899055">
      <w:bodyDiv w:val="1"/>
      <w:marLeft w:val="0"/>
      <w:marRight w:val="0"/>
      <w:marTop w:val="0"/>
      <w:marBottom w:val="0"/>
      <w:divBdr>
        <w:top w:val="none" w:sz="0" w:space="0" w:color="auto"/>
        <w:left w:val="none" w:sz="0" w:space="0" w:color="auto"/>
        <w:bottom w:val="none" w:sz="0" w:space="0" w:color="auto"/>
        <w:right w:val="none" w:sz="0" w:space="0" w:color="auto"/>
      </w:divBdr>
    </w:div>
    <w:div w:id="851454237">
      <w:bodyDiv w:val="1"/>
      <w:marLeft w:val="0"/>
      <w:marRight w:val="0"/>
      <w:marTop w:val="0"/>
      <w:marBottom w:val="0"/>
      <w:divBdr>
        <w:top w:val="none" w:sz="0" w:space="0" w:color="auto"/>
        <w:left w:val="none" w:sz="0" w:space="0" w:color="auto"/>
        <w:bottom w:val="none" w:sz="0" w:space="0" w:color="auto"/>
        <w:right w:val="none" w:sz="0" w:space="0" w:color="auto"/>
      </w:divBdr>
    </w:div>
    <w:div w:id="855923232">
      <w:bodyDiv w:val="1"/>
      <w:marLeft w:val="0"/>
      <w:marRight w:val="0"/>
      <w:marTop w:val="0"/>
      <w:marBottom w:val="0"/>
      <w:divBdr>
        <w:top w:val="none" w:sz="0" w:space="0" w:color="auto"/>
        <w:left w:val="none" w:sz="0" w:space="0" w:color="auto"/>
        <w:bottom w:val="none" w:sz="0" w:space="0" w:color="auto"/>
        <w:right w:val="none" w:sz="0" w:space="0" w:color="auto"/>
      </w:divBdr>
    </w:div>
    <w:div w:id="866911811">
      <w:bodyDiv w:val="1"/>
      <w:marLeft w:val="0"/>
      <w:marRight w:val="0"/>
      <w:marTop w:val="0"/>
      <w:marBottom w:val="0"/>
      <w:divBdr>
        <w:top w:val="none" w:sz="0" w:space="0" w:color="auto"/>
        <w:left w:val="none" w:sz="0" w:space="0" w:color="auto"/>
        <w:bottom w:val="none" w:sz="0" w:space="0" w:color="auto"/>
        <w:right w:val="none" w:sz="0" w:space="0" w:color="auto"/>
      </w:divBdr>
    </w:div>
    <w:div w:id="871651489">
      <w:bodyDiv w:val="1"/>
      <w:marLeft w:val="0"/>
      <w:marRight w:val="0"/>
      <w:marTop w:val="0"/>
      <w:marBottom w:val="0"/>
      <w:divBdr>
        <w:top w:val="none" w:sz="0" w:space="0" w:color="auto"/>
        <w:left w:val="none" w:sz="0" w:space="0" w:color="auto"/>
        <w:bottom w:val="none" w:sz="0" w:space="0" w:color="auto"/>
        <w:right w:val="none" w:sz="0" w:space="0" w:color="auto"/>
      </w:divBdr>
    </w:div>
    <w:div w:id="874007423">
      <w:bodyDiv w:val="1"/>
      <w:marLeft w:val="0"/>
      <w:marRight w:val="0"/>
      <w:marTop w:val="0"/>
      <w:marBottom w:val="0"/>
      <w:divBdr>
        <w:top w:val="none" w:sz="0" w:space="0" w:color="auto"/>
        <w:left w:val="none" w:sz="0" w:space="0" w:color="auto"/>
        <w:bottom w:val="none" w:sz="0" w:space="0" w:color="auto"/>
        <w:right w:val="none" w:sz="0" w:space="0" w:color="auto"/>
      </w:divBdr>
    </w:div>
    <w:div w:id="877087099">
      <w:bodyDiv w:val="1"/>
      <w:marLeft w:val="0"/>
      <w:marRight w:val="0"/>
      <w:marTop w:val="0"/>
      <w:marBottom w:val="0"/>
      <w:divBdr>
        <w:top w:val="none" w:sz="0" w:space="0" w:color="auto"/>
        <w:left w:val="none" w:sz="0" w:space="0" w:color="auto"/>
        <w:bottom w:val="none" w:sz="0" w:space="0" w:color="auto"/>
        <w:right w:val="none" w:sz="0" w:space="0" w:color="auto"/>
      </w:divBdr>
    </w:div>
    <w:div w:id="878400298">
      <w:bodyDiv w:val="1"/>
      <w:marLeft w:val="0"/>
      <w:marRight w:val="0"/>
      <w:marTop w:val="0"/>
      <w:marBottom w:val="0"/>
      <w:divBdr>
        <w:top w:val="none" w:sz="0" w:space="0" w:color="auto"/>
        <w:left w:val="none" w:sz="0" w:space="0" w:color="auto"/>
        <w:bottom w:val="none" w:sz="0" w:space="0" w:color="auto"/>
        <w:right w:val="none" w:sz="0" w:space="0" w:color="auto"/>
      </w:divBdr>
    </w:div>
    <w:div w:id="900141700">
      <w:bodyDiv w:val="1"/>
      <w:marLeft w:val="0"/>
      <w:marRight w:val="0"/>
      <w:marTop w:val="0"/>
      <w:marBottom w:val="0"/>
      <w:divBdr>
        <w:top w:val="none" w:sz="0" w:space="0" w:color="auto"/>
        <w:left w:val="none" w:sz="0" w:space="0" w:color="auto"/>
        <w:bottom w:val="none" w:sz="0" w:space="0" w:color="auto"/>
        <w:right w:val="none" w:sz="0" w:space="0" w:color="auto"/>
      </w:divBdr>
    </w:div>
    <w:div w:id="904728945">
      <w:bodyDiv w:val="1"/>
      <w:marLeft w:val="0"/>
      <w:marRight w:val="0"/>
      <w:marTop w:val="0"/>
      <w:marBottom w:val="0"/>
      <w:divBdr>
        <w:top w:val="none" w:sz="0" w:space="0" w:color="auto"/>
        <w:left w:val="none" w:sz="0" w:space="0" w:color="auto"/>
        <w:bottom w:val="none" w:sz="0" w:space="0" w:color="auto"/>
        <w:right w:val="none" w:sz="0" w:space="0" w:color="auto"/>
      </w:divBdr>
    </w:div>
    <w:div w:id="906187877">
      <w:bodyDiv w:val="1"/>
      <w:marLeft w:val="0"/>
      <w:marRight w:val="0"/>
      <w:marTop w:val="0"/>
      <w:marBottom w:val="0"/>
      <w:divBdr>
        <w:top w:val="none" w:sz="0" w:space="0" w:color="auto"/>
        <w:left w:val="none" w:sz="0" w:space="0" w:color="auto"/>
        <w:bottom w:val="none" w:sz="0" w:space="0" w:color="auto"/>
        <w:right w:val="none" w:sz="0" w:space="0" w:color="auto"/>
      </w:divBdr>
    </w:div>
    <w:div w:id="913203562">
      <w:bodyDiv w:val="1"/>
      <w:marLeft w:val="0"/>
      <w:marRight w:val="0"/>
      <w:marTop w:val="0"/>
      <w:marBottom w:val="0"/>
      <w:divBdr>
        <w:top w:val="none" w:sz="0" w:space="0" w:color="auto"/>
        <w:left w:val="none" w:sz="0" w:space="0" w:color="auto"/>
        <w:bottom w:val="none" w:sz="0" w:space="0" w:color="auto"/>
        <w:right w:val="none" w:sz="0" w:space="0" w:color="auto"/>
      </w:divBdr>
    </w:div>
    <w:div w:id="916666833">
      <w:bodyDiv w:val="1"/>
      <w:marLeft w:val="0"/>
      <w:marRight w:val="0"/>
      <w:marTop w:val="0"/>
      <w:marBottom w:val="0"/>
      <w:divBdr>
        <w:top w:val="none" w:sz="0" w:space="0" w:color="auto"/>
        <w:left w:val="none" w:sz="0" w:space="0" w:color="auto"/>
        <w:bottom w:val="none" w:sz="0" w:space="0" w:color="auto"/>
        <w:right w:val="none" w:sz="0" w:space="0" w:color="auto"/>
      </w:divBdr>
    </w:div>
    <w:div w:id="925849572">
      <w:bodyDiv w:val="1"/>
      <w:marLeft w:val="0"/>
      <w:marRight w:val="0"/>
      <w:marTop w:val="0"/>
      <w:marBottom w:val="0"/>
      <w:divBdr>
        <w:top w:val="none" w:sz="0" w:space="0" w:color="auto"/>
        <w:left w:val="none" w:sz="0" w:space="0" w:color="auto"/>
        <w:bottom w:val="none" w:sz="0" w:space="0" w:color="auto"/>
        <w:right w:val="none" w:sz="0" w:space="0" w:color="auto"/>
      </w:divBdr>
    </w:div>
    <w:div w:id="938828730">
      <w:bodyDiv w:val="1"/>
      <w:marLeft w:val="0"/>
      <w:marRight w:val="0"/>
      <w:marTop w:val="0"/>
      <w:marBottom w:val="0"/>
      <w:divBdr>
        <w:top w:val="none" w:sz="0" w:space="0" w:color="auto"/>
        <w:left w:val="none" w:sz="0" w:space="0" w:color="auto"/>
        <w:bottom w:val="none" w:sz="0" w:space="0" w:color="auto"/>
        <w:right w:val="none" w:sz="0" w:space="0" w:color="auto"/>
      </w:divBdr>
    </w:div>
    <w:div w:id="941767502">
      <w:bodyDiv w:val="1"/>
      <w:marLeft w:val="0"/>
      <w:marRight w:val="0"/>
      <w:marTop w:val="0"/>
      <w:marBottom w:val="0"/>
      <w:divBdr>
        <w:top w:val="none" w:sz="0" w:space="0" w:color="auto"/>
        <w:left w:val="none" w:sz="0" w:space="0" w:color="auto"/>
        <w:bottom w:val="none" w:sz="0" w:space="0" w:color="auto"/>
        <w:right w:val="none" w:sz="0" w:space="0" w:color="auto"/>
      </w:divBdr>
    </w:div>
    <w:div w:id="944773877">
      <w:bodyDiv w:val="1"/>
      <w:marLeft w:val="0"/>
      <w:marRight w:val="0"/>
      <w:marTop w:val="0"/>
      <w:marBottom w:val="0"/>
      <w:divBdr>
        <w:top w:val="none" w:sz="0" w:space="0" w:color="auto"/>
        <w:left w:val="none" w:sz="0" w:space="0" w:color="auto"/>
        <w:bottom w:val="none" w:sz="0" w:space="0" w:color="auto"/>
        <w:right w:val="none" w:sz="0" w:space="0" w:color="auto"/>
      </w:divBdr>
    </w:div>
    <w:div w:id="944921632">
      <w:bodyDiv w:val="1"/>
      <w:marLeft w:val="0"/>
      <w:marRight w:val="0"/>
      <w:marTop w:val="0"/>
      <w:marBottom w:val="0"/>
      <w:divBdr>
        <w:top w:val="none" w:sz="0" w:space="0" w:color="auto"/>
        <w:left w:val="none" w:sz="0" w:space="0" w:color="auto"/>
        <w:bottom w:val="none" w:sz="0" w:space="0" w:color="auto"/>
        <w:right w:val="none" w:sz="0" w:space="0" w:color="auto"/>
      </w:divBdr>
    </w:div>
    <w:div w:id="951745672">
      <w:bodyDiv w:val="1"/>
      <w:marLeft w:val="0"/>
      <w:marRight w:val="0"/>
      <w:marTop w:val="0"/>
      <w:marBottom w:val="0"/>
      <w:divBdr>
        <w:top w:val="none" w:sz="0" w:space="0" w:color="auto"/>
        <w:left w:val="none" w:sz="0" w:space="0" w:color="auto"/>
        <w:bottom w:val="none" w:sz="0" w:space="0" w:color="auto"/>
        <w:right w:val="none" w:sz="0" w:space="0" w:color="auto"/>
      </w:divBdr>
    </w:div>
    <w:div w:id="960302381">
      <w:bodyDiv w:val="1"/>
      <w:marLeft w:val="0"/>
      <w:marRight w:val="0"/>
      <w:marTop w:val="0"/>
      <w:marBottom w:val="0"/>
      <w:divBdr>
        <w:top w:val="none" w:sz="0" w:space="0" w:color="auto"/>
        <w:left w:val="none" w:sz="0" w:space="0" w:color="auto"/>
        <w:bottom w:val="none" w:sz="0" w:space="0" w:color="auto"/>
        <w:right w:val="none" w:sz="0" w:space="0" w:color="auto"/>
      </w:divBdr>
    </w:div>
    <w:div w:id="972752377">
      <w:bodyDiv w:val="1"/>
      <w:marLeft w:val="0"/>
      <w:marRight w:val="0"/>
      <w:marTop w:val="0"/>
      <w:marBottom w:val="0"/>
      <w:divBdr>
        <w:top w:val="none" w:sz="0" w:space="0" w:color="auto"/>
        <w:left w:val="none" w:sz="0" w:space="0" w:color="auto"/>
        <w:bottom w:val="none" w:sz="0" w:space="0" w:color="auto"/>
        <w:right w:val="none" w:sz="0" w:space="0" w:color="auto"/>
      </w:divBdr>
    </w:div>
    <w:div w:id="973751326">
      <w:bodyDiv w:val="1"/>
      <w:marLeft w:val="0"/>
      <w:marRight w:val="0"/>
      <w:marTop w:val="0"/>
      <w:marBottom w:val="0"/>
      <w:divBdr>
        <w:top w:val="none" w:sz="0" w:space="0" w:color="auto"/>
        <w:left w:val="none" w:sz="0" w:space="0" w:color="auto"/>
        <w:bottom w:val="none" w:sz="0" w:space="0" w:color="auto"/>
        <w:right w:val="none" w:sz="0" w:space="0" w:color="auto"/>
      </w:divBdr>
    </w:div>
    <w:div w:id="975260459">
      <w:bodyDiv w:val="1"/>
      <w:marLeft w:val="0"/>
      <w:marRight w:val="0"/>
      <w:marTop w:val="0"/>
      <w:marBottom w:val="0"/>
      <w:divBdr>
        <w:top w:val="none" w:sz="0" w:space="0" w:color="auto"/>
        <w:left w:val="none" w:sz="0" w:space="0" w:color="auto"/>
        <w:bottom w:val="none" w:sz="0" w:space="0" w:color="auto"/>
        <w:right w:val="none" w:sz="0" w:space="0" w:color="auto"/>
      </w:divBdr>
    </w:div>
    <w:div w:id="1002659396">
      <w:bodyDiv w:val="1"/>
      <w:marLeft w:val="0"/>
      <w:marRight w:val="0"/>
      <w:marTop w:val="0"/>
      <w:marBottom w:val="0"/>
      <w:divBdr>
        <w:top w:val="none" w:sz="0" w:space="0" w:color="auto"/>
        <w:left w:val="none" w:sz="0" w:space="0" w:color="auto"/>
        <w:bottom w:val="none" w:sz="0" w:space="0" w:color="auto"/>
        <w:right w:val="none" w:sz="0" w:space="0" w:color="auto"/>
      </w:divBdr>
    </w:div>
    <w:div w:id="1004817312">
      <w:bodyDiv w:val="1"/>
      <w:marLeft w:val="0"/>
      <w:marRight w:val="0"/>
      <w:marTop w:val="0"/>
      <w:marBottom w:val="0"/>
      <w:divBdr>
        <w:top w:val="none" w:sz="0" w:space="0" w:color="auto"/>
        <w:left w:val="none" w:sz="0" w:space="0" w:color="auto"/>
        <w:bottom w:val="none" w:sz="0" w:space="0" w:color="auto"/>
        <w:right w:val="none" w:sz="0" w:space="0" w:color="auto"/>
      </w:divBdr>
    </w:div>
    <w:div w:id="1005937973">
      <w:bodyDiv w:val="1"/>
      <w:marLeft w:val="0"/>
      <w:marRight w:val="0"/>
      <w:marTop w:val="0"/>
      <w:marBottom w:val="0"/>
      <w:divBdr>
        <w:top w:val="none" w:sz="0" w:space="0" w:color="auto"/>
        <w:left w:val="none" w:sz="0" w:space="0" w:color="auto"/>
        <w:bottom w:val="none" w:sz="0" w:space="0" w:color="auto"/>
        <w:right w:val="none" w:sz="0" w:space="0" w:color="auto"/>
      </w:divBdr>
    </w:div>
    <w:div w:id="1012293774">
      <w:bodyDiv w:val="1"/>
      <w:marLeft w:val="0"/>
      <w:marRight w:val="0"/>
      <w:marTop w:val="0"/>
      <w:marBottom w:val="0"/>
      <w:divBdr>
        <w:top w:val="none" w:sz="0" w:space="0" w:color="auto"/>
        <w:left w:val="none" w:sz="0" w:space="0" w:color="auto"/>
        <w:bottom w:val="none" w:sz="0" w:space="0" w:color="auto"/>
        <w:right w:val="none" w:sz="0" w:space="0" w:color="auto"/>
      </w:divBdr>
    </w:div>
    <w:div w:id="1012491594">
      <w:bodyDiv w:val="1"/>
      <w:marLeft w:val="0"/>
      <w:marRight w:val="0"/>
      <w:marTop w:val="0"/>
      <w:marBottom w:val="0"/>
      <w:divBdr>
        <w:top w:val="none" w:sz="0" w:space="0" w:color="auto"/>
        <w:left w:val="none" w:sz="0" w:space="0" w:color="auto"/>
        <w:bottom w:val="none" w:sz="0" w:space="0" w:color="auto"/>
        <w:right w:val="none" w:sz="0" w:space="0" w:color="auto"/>
      </w:divBdr>
    </w:div>
    <w:div w:id="1017151454">
      <w:bodyDiv w:val="1"/>
      <w:marLeft w:val="0"/>
      <w:marRight w:val="0"/>
      <w:marTop w:val="0"/>
      <w:marBottom w:val="0"/>
      <w:divBdr>
        <w:top w:val="none" w:sz="0" w:space="0" w:color="auto"/>
        <w:left w:val="none" w:sz="0" w:space="0" w:color="auto"/>
        <w:bottom w:val="none" w:sz="0" w:space="0" w:color="auto"/>
        <w:right w:val="none" w:sz="0" w:space="0" w:color="auto"/>
      </w:divBdr>
    </w:div>
    <w:div w:id="1026104409">
      <w:bodyDiv w:val="1"/>
      <w:marLeft w:val="0"/>
      <w:marRight w:val="0"/>
      <w:marTop w:val="0"/>
      <w:marBottom w:val="0"/>
      <w:divBdr>
        <w:top w:val="none" w:sz="0" w:space="0" w:color="auto"/>
        <w:left w:val="none" w:sz="0" w:space="0" w:color="auto"/>
        <w:bottom w:val="none" w:sz="0" w:space="0" w:color="auto"/>
        <w:right w:val="none" w:sz="0" w:space="0" w:color="auto"/>
      </w:divBdr>
    </w:div>
    <w:div w:id="1035085479">
      <w:bodyDiv w:val="1"/>
      <w:marLeft w:val="0"/>
      <w:marRight w:val="0"/>
      <w:marTop w:val="0"/>
      <w:marBottom w:val="0"/>
      <w:divBdr>
        <w:top w:val="none" w:sz="0" w:space="0" w:color="auto"/>
        <w:left w:val="none" w:sz="0" w:space="0" w:color="auto"/>
        <w:bottom w:val="none" w:sz="0" w:space="0" w:color="auto"/>
        <w:right w:val="none" w:sz="0" w:space="0" w:color="auto"/>
      </w:divBdr>
    </w:div>
    <w:div w:id="1045251353">
      <w:bodyDiv w:val="1"/>
      <w:marLeft w:val="0"/>
      <w:marRight w:val="0"/>
      <w:marTop w:val="0"/>
      <w:marBottom w:val="0"/>
      <w:divBdr>
        <w:top w:val="none" w:sz="0" w:space="0" w:color="auto"/>
        <w:left w:val="none" w:sz="0" w:space="0" w:color="auto"/>
        <w:bottom w:val="none" w:sz="0" w:space="0" w:color="auto"/>
        <w:right w:val="none" w:sz="0" w:space="0" w:color="auto"/>
      </w:divBdr>
    </w:div>
    <w:div w:id="1053503524">
      <w:bodyDiv w:val="1"/>
      <w:marLeft w:val="0"/>
      <w:marRight w:val="0"/>
      <w:marTop w:val="0"/>
      <w:marBottom w:val="0"/>
      <w:divBdr>
        <w:top w:val="none" w:sz="0" w:space="0" w:color="auto"/>
        <w:left w:val="none" w:sz="0" w:space="0" w:color="auto"/>
        <w:bottom w:val="none" w:sz="0" w:space="0" w:color="auto"/>
        <w:right w:val="none" w:sz="0" w:space="0" w:color="auto"/>
      </w:divBdr>
    </w:div>
    <w:div w:id="1067218232">
      <w:bodyDiv w:val="1"/>
      <w:marLeft w:val="0"/>
      <w:marRight w:val="0"/>
      <w:marTop w:val="0"/>
      <w:marBottom w:val="0"/>
      <w:divBdr>
        <w:top w:val="none" w:sz="0" w:space="0" w:color="auto"/>
        <w:left w:val="none" w:sz="0" w:space="0" w:color="auto"/>
        <w:bottom w:val="none" w:sz="0" w:space="0" w:color="auto"/>
        <w:right w:val="none" w:sz="0" w:space="0" w:color="auto"/>
      </w:divBdr>
    </w:div>
    <w:div w:id="1067991191">
      <w:bodyDiv w:val="1"/>
      <w:marLeft w:val="0"/>
      <w:marRight w:val="0"/>
      <w:marTop w:val="0"/>
      <w:marBottom w:val="0"/>
      <w:divBdr>
        <w:top w:val="none" w:sz="0" w:space="0" w:color="auto"/>
        <w:left w:val="none" w:sz="0" w:space="0" w:color="auto"/>
        <w:bottom w:val="none" w:sz="0" w:space="0" w:color="auto"/>
        <w:right w:val="none" w:sz="0" w:space="0" w:color="auto"/>
      </w:divBdr>
    </w:div>
    <w:div w:id="1070881233">
      <w:bodyDiv w:val="1"/>
      <w:marLeft w:val="0"/>
      <w:marRight w:val="0"/>
      <w:marTop w:val="0"/>
      <w:marBottom w:val="0"/>
      <w:divBdr>
        <w:top w:val="none" w:sz="0" w:space="0" w:color="auto"/>
        <w:left w:val="none" w:sz="0" w:space="0" w:color="auto"/>
        <w:bottom w:val="none" w:sz="0" w:space="0" w:color="auto"/>
        <w:right w:val="none" w:sz="0" w:space="0" w:color="auto"/>
      </w:divBdr>
    </w:div>
    <w:div w:id="1099983128">
      <w:bodyDiv w:val="1"/>
      <w:marLeft w:val="0"/>
      <w:marRight w:val="0"/>
      <w:marTop w:val="0"/>
      <w:marBottom w:val="0"/>
      <w:divBdr>
        <w:top w:val="none" w:sz="0" w:space="0" w:color="auto"/>
        <w:left w:val="none" w:sz="0" w:space="0" w:color="auto"/>
        <w:bottom w:val="none" w:sz="0" w:space="0" w:color="auto"/>
        <w:right w:val="none" w:sz="0" w:space="0" w:color="auto"/>
      </w:divBdr>
    </w:div>
    <w:div w:id="1107307475">
      <w:bodyDiv w:val="1"/>
      <w:marLeft w:val="0"/>
      <w:marRight w:val="0"/>
      <w:marTop w:val="0"/>
      <w:marBottom w:val="0"/>
      <w:divBdr>
        <w:top w:val="none" w:sz="0" w:space="0" w:color="auto"/>
        <w:left w:val="none" w:sz="0" w:space="0" w:color="auto"/>
        <w:bottom w:val="none" w:sz="0" w:space="0" w:color="auto"/>
        <w:right w:val="none" w:sz="0" w:space="0" w:color="auto"/>
      </w:divBdr>
    </w:div>
    <w:div w:id="1107695304">
      <w:bodyDiv w:val="1"/>
      <w:marLeft w:val="0"/>
      <w:marRight w:val="0"/>
      <w:marTop w:val="0"/>
      <w:marBottom w:val="0"/>
      <w:divBdr>
        <w:top w:val="none" w:sz="0" w:space="0" w:color="auto"/>
        <w:left w:val="none" w:sz="0" w:space="0" w:color="auto"/>
        <w:bottom w:val="none" w:sz="0" w:space="0" w:color="auto"/>
        <w:right w:val="none" w:sz="0" w:space="0" w:color="auto"/>
      </w:divBdr>
    </w:div>
    <w:div w:id="1120798759">
      <w:bodyDiv w:val="1"/>
      <w:marLeft w:val="0"/>
      <w:marRight w:val="0"/>
      <w:marTop w:val="0"/>
      <w:marBottom w:val="0"/>
      <w:divBdr>
        <w:top w:val="none" w:sz="0" w:space="0" w:color="auto"/>
        <w:left w:val="none" w:sz="0" w:space="0" w:color="auto"/>
        <w:bottom w:val="none" w:sz="0" w:space="0" w:color="auto"/>
        <w:right w:val="none" w:sz="0" w:space="0" w:color="auto"/>
      </w:divBdr>
    </w:div>
    <w:div w:id="1146557212">
      <w:bodyDiv w:val="1"/>
      <w:marLeft w:val="0"/>
      <w:marRight w:val="0"/>
      <w:marTop w:val="0"/>
      <w:marBottom w:val="0"/>
      <w:divBdr>
        <w:top w:val="none" w:sz="0" w:space="0" w:color="auto"/>
        <w:left w:val="none" w:sz="0" w:space="0" w:color="auto"/>
        <w:bottom w:val="none" w:sz="0" w:space="0" w:color="auto"/>
        <w:right w:val="none" w:sz="0" w:space="0" w:color="auto"/>
      </w:divBdr>
    </w:div>
    <w:div w:id="1153762406">
      <w:bodyDiv w:val="1"/>
      <w:marLeft w:val="0"/>
      <w:marRight w:val="0"/>
      <w:marTop w:val="0"/>
      <w:marBottom w:val="0"/>
      <w:divBdr>
        <w:top w:val="none" w:sz="0" w:space="0" w:color="auto"/>
        <w:left w:val="none" w:sz="0" w:space="0" w:color="auto"/>
        <w:bottom w:val="none" w:sz="0" w:space="0" w:color="auto"/>
        <w:right w:val="none" w:sz="0" w:space="0" w:color="auto"/>
      </w:divBdr>
    </w:div>
    <w:div w:id="1160661438">
      <w:bodyDiv w:val="1"/>
      <w:marLeft w:val="0"/>
      <w:marRight w:val="0"/>
      <w:marTop w:val="0"/>
      <w:marBottom w:val="0"/>
      <w:divBdr>
        <w:top w:val="none" w:sz="0" w:space="0" w:color="auto"/>
        <w:left w:val="none" w:sz="0" w:space="0" w:color="auto"/>
        <w:bottom w:val="none" w:sz="0" w:space="0" w:color="auto"/>
        <w:right w:val="none" w:sz="0" w:space="0" w:color="auto"/>
      </w:divBdr>
    </w:div>
    <w:div w:id="1170750521">
      <w:bodyDiv w:val="1"/>
      <w:marLeft w:val="0"/>
      <w:marRight w:val="0"/>
      <w:marTop w:val="0"/>
      <w:marBottom w:val="0"/>
      <w:divBdr>
        <w:top w:val="none" w:sz="0" w:space="0" w:color="auto"/>
        <w:left w:val="none" w:sz="0" w:space="0" w:color="auto"/>
        <w:bottom w:val="none" w:sz="0" w:space="0" w:color="auto"/>
        <w:right w:val="none" w:sz="0" w:space="0" w:color="auto"/>
      </w:divBdr>
    </w:div>
    <w:div w:id="1178076939">
      <w:bodyDiv w:val="1"/>
      <w:marLeft w:val="0"/>
      <w:marRight w:val="0"/>
      <w:marTop w:val="0"/>
      <w:marBottom w:val="0"/>
      <w:divBdr>
        <w:top w:val="none" w:sz="0" w:space="0" w:color="auto"/>
        <w:left w:val="none" w:sz="0" w:space="0" w:color="auto"/>
        <w:bottom w:val="none" w:sz="0" w:space="0" w:color="auto"/>
        <w:right w:val="none" w:sz="0" w:space="0" w:color="auto"/>
      </w:divBdr>
    </w:div>
    <w:div w:id="1184322068">
      <w:bodyDiv w:val="1"/>
      <w:marLeft w:val="0"/>
      <w:marRight w:val="0"/>
      <w:marTop w:val="0"/>
      <w:marBottom w:val="0"/>
      <w:divBdr>
        <w:top w:val="none" w:sz="0" w:space="0" w:color="auto"/>
        <w:left w:val="none" w:sz="0" w:space="0" w:color="auto"/>
        <w:bottom w:val="none" w:sz="0" w:space="0" w:color="auto"/>
        <w:right w:val="none" w:sz="0" w:space="0" w:color="auto"/>
      </w:divBdr>
    </w:div>
    <w:div w:id="1186212157">
      <w:bodyDiv w:val="1"/>
      <w:marLeft w:val="0"/>
      <w:marRight w:val="0"/>
      <w:marTop w:val="0"/>
      <w:marBottom w:val="0"/>
      <w:divBdr>
        <w:top w:val="none" w:sz="0" w:space="0" w:color="auto"/>
        <w:left w:val="none" w:sz="0" w:space="0" w:color="auto"/>
        <w:bottom w:val="none" w:sz="0" w:space="0" w:color="auto"/>
        <w:right w:val="none" w:sz="0" w:space="0" w:color="auto"/>
      </w:divBdr>
    </w:div>
    <w:div w:id="1188258450">
      <w:bodyDiv w:val="1"/>
      <w:marLeft w:val="0"/>
      <w:marRight w:val="0"/>
      <w:marTop w:val="0"/>
      <w:marBottom w:val="0"/>
      <w:divBdr>
        <w:top w:val="none" w:sz="0" w:space="0" w:color="auto"/>
        <w:left w:val="none" w:sz="0" w:space="0" w:color="auto"/>
        <w:bottom w:val="none" w:sz="0" w:space="0" w:color="auto"/>
        <w:right w:val="none" w:sz="0" w:space="0" w:color="auto"/>
      </w:divBdr>
    </w:div>
    <w:div w:id="1192576508">
      <w:bodyDiv w:val="1"/>
      <w:marLeft w:val="0"/>
      <w:marRight w:val="0"/>
      <w:marTop w:val="0"/>
      <w:marBottom w:val="0"/>
      <w:divBdr>
        <w:top w:val="none" w:sz="0" w:space="0" w:color="auto"/>
        <w:left w:val="none" w:sz="0" w:space="0" w:color="auto"/>
        <w:bottom w:val="none" w:sz="0" w:space="0" w:color="auto"/>
        <w:right w:val="none" w:sz="0" w:space="0" w:color="auto"/>
      </w:divBdr>
    </w:div>
    <w:div w:id="1202550168">
      <w:bodyDiv w:val="1"/>
      <w:marLeft w:val="0"/>
      <w:marRight w:val="0"/>
      <w:marTop w:val="0"/>
      <w:marBottom w:val="0"/>
      <w:divBdr>
        <w:top w:val="none" w:sz="0" w:space="0" w:color="auto"/>
        <w:left w:val="none" w:sz="0" w:space="0" w:color="auto"/>
        <w:bottom w:val="none" w:sz="0" w:space="0" w:color="auto"/>
        <w:right w:val="none" w:sz="0" w:space="0" w:color="auto"/>
      </w:divBdr>
    </w:div>
    <w:div w:id="1205825641">
      <w:bodyDiv w:val="1"/>
      <w:marLeft w:val="0"/>
      <w:marRight w:val="0"/>
      <w:marTop w:val="0"/>
      <w:marBottom w:val="0"/>
      <w:divBdr>
        <w:top w:val="none" w:sz="0" w:space="0" w:color="auto"/>
        <w:left w:val="none" w:sz="0" w:space="0" w:color="auto"/>
        <w:bottom w:val="none" w:sz="0" w:space="0" w:color="auto"/>
        <w:right w:val="none" w:sz="0" w:space="0" w:color="auto"/>
      </w:divBdr>
    </w:div>
    <w:div w:id="1209100345">
      <w:bodyDiv w:val="1"/>
      <w:marLeft w:val="0"/>
      <w:marRight w:val="0"/>
      <w:marTop w:val="0"/>
      <w:marBottom w:val="0"/>
      <w:divBdr>
        <w:top w:val="none" w:sz="0" w:space="0" w:color="auto"/>
        <w:left w:val="none" w:sz="0" w:space="0" w:color="auto"/>
        <w:bottom w:val="none" w:sz="0" w:space="0" w:color="auto"/>
        <w:right w:val="none" w:sz="0" w:space="0" w:color="auto"/>
      </w:divBdr>
    </w:div>
    <w:div w:id="1218589110">
      <w:bodyDiv w:val="1"/>
      <w:marLeft w:val="0"/>
      <w:marRight w:val="0"/>
      <w:marTop w:val="0"/>
      <w:marBottom w:val="0"/>
      <w:divBdr>
        <w:top w:val="none" w:sz="0" w:space="0" w:color="auto"/>
        <w:left w:val="none" w:sz="0" w:space="0" w:color="auto"/>
        <w:bottom w:val="none" w:sz="0" w:space="0" w:color="auto"/>
        <w:right w:val="none" w:sz="0" w:space="0" w:color="auto"/>
      </w:divBdr>
    </w:div>
    <w:div w:id="1222057738">
      <w:bodyDiv w:val="1"/>
      <w:marLeft w:val="0"/>
      <w:marRight w:val="0"/>
      <w:marTop w:val="0"/>
      <w:marBottom w:val="0"/>
      <w:divBdr>
        <w:top w:val="none" w:sz="0" w:space="0" w:color="auto"/>
        <w:left w:val="none" w:sz="0" w:space="0" w:color="auto"/>
        <w:bottom w:val="none" w:sz="0" w:space="0" w:color="auto"/>
        <w:right w:val="none" w:sz="0" w:space="0" w:color="auto"/>
      </w:divBdr>
    </w:div>
    <w:div w:id="1223563676">
      <w:bodyDiv w:val="1"/>
      <w:marLeft w:val="0"/>
      <w:marRight w:val="0"/>
      <w:marTop w:val="0"/>
      <w:marBottom w:val="0"/>
      <w:divBdr>
        <w:top w:val="none" w:sz="0" w:space="0" w:color="auto"/>
        <w:left w:val="none" w:sz="0" w:space="0" w:color="auto"/>
        <w:bottom w:val="none" w:sz="0" w:space="0" w:color="auto"/>
        <w:right w:val="none" w:sz="0" w:space="0" w:color="auto"/>
      </w:divBdr>
    </w:div>
    <w:div w:id="1226381443">
      <w:bodyDiv w:val="1"/>
      <w:marLeft w:val="0"/>
      <w:marRight w:val="0"/>
      <w:marTop w:val="0"/>
      <w:marBottom w:val="0"/>
      <w:divBdr>
        <w:top w:val="none" w:sz="0" w:space="0" w:color="auto"/>
        <w:left w:val="none" w:sz="0" w:space="0" w:color="auto"/>
        <w:bottom w:val="none" w:sz="0" w:space="0" w:color="auto"/>
        <w:right w:val="none" w:sz="0" w:space="0" w:color="auto"/>
      </w:divBdr>
    </w:div>
    <w:div w:id="1237712973">
      <w:bodyDiv w:val="1"/>
      <w:marLeft w:val="0"/>
      <w:marRight w:val="0"/>
      <w:marTop w:val="0"/>
      <w:marBottom w:val="0"/>
      <w:divBdr>
        <w:top w:val="none" w:sz="0" w:space="0" w:color="auto"/>
        <w:left w:val="none" w:sz="0" w:space="0" w:color="auto"/>
        <w:bottom w:val="none" w:sz="0" w:space="0" w:color="auto"/>
        <w:right w:val="none" w:sz="0" w:space="0" w:color="auto"/>
      </w:divBdr>
    </w:div>
    <w:div w:id="1238323212">
      <w:bodyDiv w:val="1"/>
      <w:marLeft w:val="0"/>
      <w:marRight w:val="0"/>
      <w:marTop w:val="0"/>
      <w:marBottom w:val="0"/>
      <w:divBdr>
        <w:top w:val="none" w:sz="0" w:space="0" w:color="auto"/>
        <w:left w:val="none" w:sz="0" w:space="0" w:color="auto"/>
        <w:bottom w:val="none" w:sz="0" w:space="0" w:color="auto"/>
        <w:right w:val="none" w:sz="0" w:space="0" w:color="auto"/>
      </w:divBdr>
    </w:div>
    <w:div w:id="1255045429">
      <w:bodyDiv w:val="1"/>
      <w:marLeft w:val="0"/>
      <w:marRight w:val="0"/>
      <w:marTop w:val="0"/>
      <w:marBottom w:val="0"/>
      <w:divBdr>
        <w:top w:val="none" w:sz="0" w:space="0" w:color="auto"/>
        <w:left w:val="none" w:sz="0" w:space="0" w:color="auto"/>
        <w:bottom w:val="none" w:sz="0" w:space="0" w:color="auto"/>
        <w:right w:val="none" w:sz="0" w:space="0" w:color="auto"/>
      </w:divBdr>
    </w:div>
    <w:div w:id="1257592198">
      <w:bodyDiv w:val="1"/>
      <w:marLeft w:val="0"/>
      <w:marRight w:val="0"/>
      <w:marTop w:val="0"/>
      <w:marBottom w:val="0"/>
      <w:divBdr>
        <w:top w:val="none" w:sz="0" w:space="0" w:color="auto"/>
        <w:left w:val="none" w:sz="0" w:space="0" w:color="auto"/>
        <w:bottom w:val="none" w:sz="0" w:space="0" w:color="auto"/>
        <w:right w:val="none" w:sz="0" w:space="0" w:color="auto"/>
      </w:divBdr>
    </w:div>
    <w:div w:id="1269897709">
      <w:bodyDiv w:val="1"/>
      <w:marLeft w:val="0"/>
      <w:marRight w:val="0"/>
      <w:marTop w:val="0"/>
      <w:marBottom w:val="0"/>
      <w:divBdr>
        <w:top w:val="none" w:sz="0" w:space="0" w:color="auto"/>
        <w:left w:val="none" w:sz="0" w:space="0" w:color="auto"/>
        <w:bottom w:val="none" w:sz="0" w:space="0" w:color="auto"/>
        <w:right w:val="none" w:sz="0" w:space="0" w:color="auto"/>
      </w:divBdr>
    </w:div>
    <w:div w:id="1270239552">
      <w:bodyDiv w:val="1"/>
      <w:marLeft w:val="0"/>
      <w:marRight w:val="0"/>
      <w:marTop w:val="0"/>
      <w:marBottom w:val="0"/>
      <w:divBdr>
        <w:top w:val="none" w:sz="0" w:space="0" w:color="auto"/>
        <w:left w:val="none" w:sz="0" w:space="0" w:color="auto"/>
        <w:bottom w:val="none" w:sz="0" w:space="0" w:color="auto"/>
        <w:right w:val="none" w:sz="0" w:space="0" w:color="auto"/>
      </w:divBdr>
    </w:div>
    <w:div w:id="1274166313">
      <w:bodyDiv w:val="1"/>
      <w:marLeft w:val="0"/>
      <w:marRight w:val="0"/>
      <w:marTop w:val="0"/>
      <w:marBottom w:val="0"/>
      <w:divBdr>
        <w:top w:val="none" w:sz="0" w:space="0" w:color="auto"/>
        <w:left w:val="none" w:sz="0" w:space="0" w:color="auto"/>
        <w:bottom w:val="none" w:sz="0" w:space="0" w:color="auto"/>
        <w:right w:val="none" w:sz="0" w:space="0" w:color="auto"/>
      </w:divBdr>
    </w:div>
    <w:div w:id="1279726479">
      <w:bodyDiv w:val="1"/>
      <w:marLeft w:val="0"/>
      <w:marRight w:val="0"/>
      <w:marTop w:val="0"/>
      <w:marBottom w:val="0"/>
      <w:divBdr>
        <w:top w:val="none" w:sz="0" w:space="0" w:color="auto"/>
        <w:left w:val="none" w:sz="0" w:space="0" w:color="auto"/>
        <w:bottom w:val="none" w:sz="0" w:space="0" w:color="auto"/>
        <w:right w:val="none" w:sz="0" w:space="0" w:color="auto"/>
      </w:divBdr>
    </w:div>
    <w:div w:id="1283726679">
      <w:bodyDiv w:val="1"/>
      <w:marLeft w:val="0"/>
      <w:marRight w:val="0"/>
      <w:marTop w:val="0"/>
      <w:marBottom w:val="0"/>
      <w:divBdr>
        <w:top w:val="none" w:sz="0" w:space="0" w:color="auto"/>
        <w:left w:val="none" w:sz="0" w:space="0" w:color="auto"/>
        <w:bottom w:val="none" w:sz="0" w:space="0" w:color="auto"/>
        <w:right w:val="none" w:sz="0" w:space="0" w:color="auto"/>
      </w:divBdr>
    </w:div>
    <w:div w:id="1286156869">
      <w:bodyDiv w:val="1"/>
      <w:marLeft w:val="0"/>
      <w:marRight w:val="0"/>
      <w:marTop w:val="0"/>
      <w:marBottom w:val="0"/>
      <w:divBdr>
        <w:top w:val="none" w:sz="0" w:space="0" w:color="auto"/>
        <w:left w:val="none" w:sz="0" w:space="0" w:color="auto"/>
        <w:bottom w:val="none" w:sz="0" w:space="0" w:color="auto"/>
        <w:right w:val="none" w:sz="0" w:space="0" w:color="auto"/>
      </w:divBdr>
    </w:div>
    <w:div w:id="1298801879">
      <w:bodyDiv w:val="1"/>
      <w:marLeft w:val="0"/>
      <w:marRight w:val="0"/>
      <w:marTop w:val="0"/>
      <w:marBottom w:val="0"/>
      <w:divBdr>
        <w:top w:val="none" w:sz="0" w:space="0" w:color="auto"/>
        <w:left w:val="none" w:sz="0" w:space="0" w:color="auto"/>
        <w:bottom w:val="none" w:sz="0" w:space="0" w:color="auto"/>
        <w:right w:val="none" w:sz="0" w:space="0" w:color="auto"/>
      </w:divBdr>
    </w:div>
    <w:div w:id="1305816137">
      <w:bodyDiv w:val="1"/>
      <w:marLeft w:val="0"/>
      <w:marRight w:val="0"/>
      <w:marTop w:val="0"/>
      <w:marBottom w:val="0"/>
      <w:divBdr>
        <w:top w:val="none" w:sz="0" w:space="0" w:color="auto"/>
        <w:left w:val="none" w:sz="0" w:space="0" w:color="auto"/>
        <w:bottom w:val="none" w:sz="0" w:space="0" w:color="auto"/>
        <w:right w:val="none" w:sz="0" w:space="0" w:color="auto"/>
      </w:divBdr>
    </w:div>
    <w:div w:id="1309937078">
      <w:bodyDiv w:val="1"/>
      <w:marLeft w:val="0"/>
      <w:marRight w:val="0"/>
      <w:marTop w:val="0"/>
      <w:marBottom w:val="0"/>
      <w:divBdr>
        <w:top w:val="none" w:sz="0" w:space="0" w:color="auto"/>
        <w:left w:val="none" w:sz="0" w:space="0" w:color="auto"/>
        <w:bottom w:val="none" w:sz="0" w:space="0" w:color="auto"/>
        <w:right w:val="none" w:sz="0" w:space="0" w:color="auto"/>
      </w:divBdr>
    </w:div>
    <w:div w:id="1319579156">
      <w:bodyDiv w:val="1"/>
      <w:marLeft w:val="0"/>
      <w:marRight w:val="0"/>
      <w:marTop w:val="0"/>
      <w:marBottom w:val="0"/>
      <w:divBdr>
        <w:top w:val="none" w:sz="0" w:space="0" w:color="auto"/>
        <w:left w:val="none" w:sz="0" w:space="0" w:color="auto"/>
        <w:bottom w:val="none" w:sz="0" w:space="0" w:color="auto"/>
        <w:right w:val="none" w:sz="0" w:space="0" w:color="auto"/>
      </w:divBdr>
    </w:div>
    <w:div w:id="1338385947">
      <w:bodyDiv w:val="1"/>
      <w:marLeft w:val="0"/>
      <w:marRight w:val="0"/>
      <w:marTop w:val="0"/>
      <w:marBottom w:val="0"/>
      <w:divBdr>
        <w:top w:val="none" w:sz="0" w:space="0" w:color="auto"/>
        <w:left w:val="none" w:sz="0" w:space="0" w:color="auto"/>
        <w:bottom w:val="none" w:sz="0" w:space="0" w:color="auto"/>
        <w:right w:val="none" w:sz="0" w:space="0" w:color="auto"/>
      </w:divBdr>
    </w:div>
    <w:div w:id="1350645578">
      <w:bodyDiv w:val="1"/>
      <w:marLeft w:val="0"/>
      <w:marRight w:val="0"/>
      <w:marTop w:val="0"/>
      <w:marBottom w:val="0"/>
      <w:divBdr>
        <w:top w:val="none" w:sz="0" w:space="0" w:color="auto"/>
        <w:left w:val="none" w:sz="0" w:space="0" w:color="auto"/>
        <w:bottom w:val="none" w:sz="0" w:space="0" w:color="auto"/>
        <w:right w:val="none" w:sz="0" w:space="0" w:color="auto"/>
      </w:divBdr>
    </w:div>
    <w:div w:id="1359354591">
      <w:bodyDiv w:val="1"/>
      <w:marLeft w:val="0"/>
      <w:marRight w:val="0"/>
      <w:marTop w:val="0"/>
      <w:marBottom w:val="0"/>
      <w:divBdr>
        <w:top w:val="none" w:sz="0" w:space="0" w:color="auto"/>
        <w:left w:val="none" w:sz="0" w:space="0" w:color="auto"/>
        <w:bottom w:val="none" w:sz="0" w:space="0" w:color="auto"/>
        <w:right w:val="none" w:sz="0" w:space="0" w:color="auto"/>
      </w:divBdr>
    </w:div>
    <w:div w:id="1361711363">
      <w:bodyDiv w:val="1"/>
      <w:marLeft w:val="0"/>
      <w:marRight w:val="0"/>
      <w:marTop w:val="0"/>
      <w:marBottom w:val="0"/>
      <w:divBdr>
        <w:top w:val="none" w:sz="0" w:space="0" w:color="auto"/>
        <w:left w:val="none" w:sz="0" w:space="0" w:color="auto"/>
        <w:bottom w:val="none" w:sz="0" w:space="0" w:color="auto"/>
        <w:right w:val="none" w:sz="0" w:space="0" w:color="auto"/>
      </w:divBdr>
    </w:div>
    <w:div w:id="1371757516">
      <w:bodyDiv w:val="1"/>
      <w:marLeft w:val="0"/>
      <w:marRight w:val="0"/>
      <w:marTop w:val="0"/>
      <w:marBottom w:val="0"/>
      <w:divBdr>
        <w:top w:val="none" w:sz="0" w:space="0" w:color="auto"/>
        <w:left w:val="none" w:sz="0" w:space="0" w:color="auto"/>
        <w:bottom w:val="none" w:sz="0" w:space="0" w:color="auto"/>
        <w:right w:val="none" w:sz="0" w:space="0" w:color="auto"/>
      </w:divBdr>
    </w:div>
    <w:div w:id="1377657547">
      <w:bodyDiv w:val="1"/>
      <w:marLeft w:val="0"/>
      <w:marRight w:val="0"/>
      <w:marTop w:val="0"/>
      <w:marBottom w:val="0"/>
      <w:divBdr>
        <w:top w:val="none" w:sz="0" w:space="0" w:color="auto"/>
        <w:left w:val="none" w:sz="0" w:space="0" w:color="auto"/>
        <w:bottom w:val="none" w:sz="0" w:space="0" w:color="auto"/>
        <w:right w:val="none" w:sz="0" w:space="0" w:color="auto"/>
      </w:divBdr>
    </w:div>
    <w:div w:id="1381979869">
      <w:bodyDiv w:val="1"/>
      <w:marLeft w:val="0"/>
      <w:marRight w:val="0"/>
      <w:marTop w:val="0"/>
      <w:marBottom w:val="0"/>
      <w:divBdr>
        <w:top w:val="none" w:sz="0" w:space="0" w:color="auto"/>
        <w:left w:val="none" w:sz="0" w:space="0" w:color="auto"/>
        <w:bottom w:val="none" w:sz="0" w:space="0" w:color="auto"/>
        <w:right w:val="none" w:sz="0" w:space="0" w:color="auto"/>
      </w:divBdr>
    </w:div>
    <w:div w:id="1390764060">
      <w:bodyDiv w:val="1"/>
      <w:marLeft w:val="0"/>
      <w:marRight w:val="0"/>
      <w:marTop w:val="0"/>
      <w:marBottom w:val="0"/>
      <w:divBdr>
        <w:top w:val="none" w:sz="0" w:space="0" w:color="auto"/>
        <w:left w:val="none" w:sz="0" w:space="0" w:color="auto"/>
        <w:bottom w:val="none" w:sz="0" w:space="0" w:color="auto"/>
        <w:right w:val="none" w:sz="0" w:space="0" w:color="auto"/>
      </w:divBdr>
    </w:div>
    <w:div w:id="1391995220">
      <w:bodyDiv w:val="1"/>
      <w:marLeft w:val="0"/>
      <w:marRight w:val="0"/>
      <w:marTop w:val="0"/>
      <w:marBottom w:val="0"/>
      <w:divBdr>
        <w:top w:val="none" w:sz="0" w:space="0" w:color="auto"/>
        <w:left w:val="none" w:sz="0" w:space="0" w:color="auto"/>
        <w:bottom w:val="none" w:sz="0" w:space="0" w:color="auto"/>
        <w:right w:val="none" w:sz="0" w:space="0" w:color="auto"/>
      </w:divBdr>
    </w:div>
    <w:div w:id="1408843353">
      <w:bodyDiv w:val="1"/>
      <w:marLeft w:val="0"/>
      <w:marRight w:val="0"/>
      <w:marTop w:val="0"/>
      <w:marBottom w:val="0"/>
      <w:divBdr>
        <w:top w:val="none" w:sz="0" w:space="0" w:color="auto"/>
        <w:left w:val="none" w:sz="0" w:space="0" w:color="auto"/>
        <w:bottom w:val="none" w:sz="0" w:space="0" w:color="auto"/>
        <w:right w:val="none" w:sz="0" w:space="0" w:color="auto"/>
      </w:divBdr>
    </w:div>
    <w:div w:id="1427267746">
      <w:bodyDiv w:val="1"/>
      <w:marLeft w:val="0"/>
      <w:marRight w:val="0"/>
      <w:marTop w:val="0"/>
      <w:marBottom w:val="0"/>
      <w:divBdr>
        <w:top w:val="none" w:sz="0" w:space="0" w:color="auto"/>
        <w:left w:val="none" w:sz="0" w:space="0" w:color="auto"/>
        <w:bottom w:val="none" w:sz="0" w:space="0" w:color="auto"/>
        <w:right w:val="none" w:sz="0" w:space="0" w:color="auto"/>
      </w:divBdr>
    </w:div>
    <w:div w:id="1429471274">
      <w:bodyDiv w:val="1"/>
      <w:marLeft w:val="0"/>
      <w:marRight w:val="0"/>
      <w:marTop w:val="0"/>
      <w:marBottom w:val="0"/>
      <w:divBdr>
        <w:top w:val="none" w:sz="0" w:space="0" w:color="auto"/>
        <w:left w:val="none" w:sz="0" w:space="0" w:color="auto"/>
        <w:bottom w:val="none" w:sz="0" w:space="0" w:color="auto"/>
        <w:right w:val="none" w:sz="0" w:space="0" w:color="auto"/>
      </w:divBdr>
    </w:div>
    <w:div w:id="1429543875">
      <w:bodyDiv w:val="1"/>
      <w:marLeft w:val="0"/>
      <w:marRight w:val="0"/>
      <w:marTop w:val="0"/>
      <w:marBottom w:val="0"/>
      <w:divBdr>
        <w:top w:val="none" w:sz="0" w:space="0" w:color="auto"/>
        <w:left w:val="none" w:sz="0" w:space="0" w:color="auto"/>
        <w:bottom w:val="none" w:sz="0" w:space="0" w:color="auto"/>
        <w:right w:val="none" w:sz="0" w:space="0" w:color="auto"/>
      </w:divBdr>
    </w:div>
    <w:div w:id="1442258235">
      <w:bodyDiv w:val="1"/>
      <w:marLeft w:val="0"/>
      <w:marRight w:val="0"/>
      <w:marTop w:val="0"/>
      <w:marBottom w:val="0"/>
      <w:divBdr>
        <w:top w:val="none" w:sz="0" w:space="0" w:color="auto"/>
        <w:left w:val="none" w:sz="0" w:space="0" w:color="auto"/>
        <w:bottom w:val="none" w:sz="0" w:space="0" w:color="auto"/>
        <w:right w:val="none" w:sz="0" w:space="0" w:color="auto"/>
      </w:divBdr>
    </w:div>
    <w:div w:id="1442413217">
      <w:bodyDiv w:val="1"/>
      <w:marLeft w:val="0"/>
      <w:marRight w:val="0"/>
      <w:marTop w:val="0"/>
      <w:marBottom w:val="0"/>
      <w:divBdr>
        <w:top w:val="none" w:sz="0" w:space="0" w:color="auto"/>
        <w:left w:val="none" w:sz="0" w:space="0" w:color="auto"/>
        <w:bottom w:val="none" w:sz="0" w:space="0" w:color="auto"/>
        <w:right w:val="none" w:sz="0" w:space="0" w:color="auto"/>
      </w:divBdr>
    </w:div>
    <w:div w:id="1444227463">
      <w:bodyDiv w:val="1"/>
      <w:marLeft w:val="0"/>
      <w:marRight w:val="0"/>
      <w:marTop w:val="0"/>
      <w:marBottom w:val="0"/>
      <w:divBdr>
        <w:top w:val="none" w:sz="0" w:space="0" w:color="auto"/>
        <w:left w:val="none" w:sz="0" w:space="0" w:color="auto"/>
        <w:bottom w:val="none" w:sz="0" w:space="0" w:color="auto"/>
        <w:right w:val="none" w:sz="0" w:space="0" w:color="auto"/>
      </w:divBdr>
    </w:div>
    <w:div w:id="1446001644">
      <w:bodyDiv w:val="1"/>
      <w:marLeft w:val="0"/>
      <w:marRight w:val="0"/>
      <w:marTop w:val="0"/>
      <w:marBottom w:val="0"/>
      <w:divBdr>
        <w:top w:val="none" w:sz="0" w:space="0" w:color="auto"/>
        <w:left w:val="none" w:sz="0" w:space="0" w:color="auto"/>
        <w:bottom w:val="none" w:sz="0" w:space="0" w:color="auto"/>
        <w:right w:val="none" w:sz="0" w:space="0" w:color="auto"/>
      </w:divBdr>
    </w:div>
    <w:div w:id="1450779427">
      <w:bodyDiv w:val="1"/>
      <w:marLeft w:val="0"/>
      <w:marRight w:val="0"/>
      <w:marTop w:val="0"/>
      <w:marBottom w:val="0"/>
      <w:divBdr>
        <w:top w:val="none" w:sz="0" w:space="0" w:color="auto"/>
        <w:left w:val="none" w:sz="0" w:space="0" w:color="auto"/>
        <w:bottom w:val="none" w:sz="0" w:space="0" w:color="auto"/>
        <w:right w:val="none" w:sz="0" w:space="0" w:color="auto"/>
      </w:divBdr>
    </w:div>
    <w:div w:id="1451431107">
      <w:bodyDiv w:val="1"/>
      <w:marLeft w:val="0"/>
      <w:marRight w:val="0"/>
      <w:marTop w:val="0"/>
      <w:marBottom w:val="0"/>
      <w:divBdr>
        <w:top w:val="none" w:sz="0" w:space="0" w:color="auto"/>
        <w:left w:val="none" w:sz="0" w:space="0" w:color="auto"/>
        <w:bottom w:val="none" w:sz="0" w:space="0" w:color="auto"/>
        <w:right w:val="none" w:sz="0" w:space="0" w:color="auto"/>
      </w:divBdr>
    </w:div>
    <w:div w:id="1453209155">
      <w:bodyDiv w:val="1"/>
      <w:marLeft w:val="0"/>
      <w:marRight w:val="0"/>
      <w:marTop w:val="0"/>
      <w:marBottom w:val="0"/>
      <w:divBdr>
        <w:top w:val="none" w:sz="0" w:space="0" w:color="auto"/>
        <w:left w:val="none" w:sz="0" w:space="0" w:color="auto"/>
        <w:bottom w:val="none" w:sz="0" w:space="0" w:color="auto"/>
        <w:right w:val="none" w:sz="0" w:space="0" w:color="auto"/>
      </w:divBdr>
    </w:div>
    <w:div w:id="1460411563">
      <w:bodyDiv w:val="1"/>
      <w:marLeft w:val="0"/>
      <w:marRight w:val="0"/>
      <w:marTop w:val="0"/>
      <w:marBottom w:val="0"/>
      <w:divBdr>
        <w:top w:val="none" w:sz="0" w:space="0" w:color="auto"/>
        <w:left w:val="none" w:sz="0" w:space="0" w:color="auto"/>
        <w:bottom w:val="none" w:sz="0" w:space="0" w:color="auto"/>
        <w:right w:val="none" w:sz="0" w:space="0" w:color="auto"/>
      </w:divBdr>
    </w:div>
    <w:div w:id="1470711000">
      <w:bodyDiv w:val="1"/>
      <w:marLeft w:val="0"/>
      <w:marRight w:val="0"/>
      <w:marTop w:val="0"/>
      <w:marBottom w:val="0"/>
      <w:divBdr>
        <w:top w:val="none" w:sz="0" w:space="0" w:color="auto"/>
        <w:left w:val="none" w:sz="0" w:space="0" w:color="auto"/>
        <w:bottom w:val="none" w:sz="0" w:space="0" w:color="auto"/>
        <w:right w:val="none" w:sz="0" w:space="0" w:color="auto"/>
      </w:divBdr>
    </w:div>
    <w:div w:id="1472988753">
      <w:bodyDiv w:val="1"/>
      <w:marLeft w:val="0"/>
      <w:marRight w:val="0"/>
      <w:marTop w:val="0"/>
      <w:marBottom w:val="0"/>
      <w:divBdr>
        <w:top w:val="none" w:sz="0" w:space="0" w:color="auto"/>
        <w:left w:val="none" w:sz="0" w:space="0" w:color="auto"/>
        <w:bottom w:val="none" w:sz="0" w:space="0" w:color="auto"/>
        <w:right w:val="none" w:sz="0" w:space="0" w:color="auto"/>
      </w:divBdr>
    </w:div>
    <w:div w:id="1473332774">
      <w:bodyDiv w:val="1"/>
      <w:marLeft w:val="0"/>
      <w:marRight w:val="0"/>
      <w:marTop w:val="0"/>
      <w:marBottom w:val="0"/>
      <w:divBdr>
        <w:top w:val="none" w:sz="0" w:space="0" w:color="auto"/>
        <w:left w:val="none" w:sz="0" w:space="0" w:color="auto"/>
        <w:bottom w:val="none" w:sz="0" w:space="0" w:color="auto"/>
        <w:right w:val="none" w:sz="0" w:space="0" w:color="auto"/>
      </w:divBdr>
    </w:div>
    <w:div w:id="1479152894">
      <w:bodyDiv w:val="1"/>
      <w:marLeft w:val="0"/>
      <w:marRight w:val="0"/>
      <w:marTop w:val="0"/>
      <w:marBottom w:val="0"/>
      <w:divBdr>
        <w:top w:val="none" w:sz="0" w:space="0" w:color="auto"/>
        <w:left w:val="none" w:sz="0" w:space="0" w:color="auto"/>
        <w:bottom w:val="none" w:sz="0" w:space="0" w:color="auto"/>
        <w:right w:val="none" w:sz="0" w:space="0" w:color="auto"/>
      </w:divBdr>
    </w:div>
    <w:div w:id="1482043538">
      <w:bodyDiv w:val="1"/>
      <w:marLeft w:val="0"/>
      <w:marRight w:val="0"/>
      <w:marTop w:val="0"/>
      <w:marBottom w:val="0"/>
      <w:divBdr>
        <w:top w:val="none" w:sz="0" w:space="0" w:color="auto"/>
        <w:left w:val="none" w:sz="0" w:space="0" w:color="auto"/>
        <w:bottom w:val="none" w:sz="0" w:space="0" w:color="auto"/>
        <w:right w:val="none" w:sz="0" w:space="0" w:color="auto"/>
      </w:divBdr>
    </w:div>
    <w:div w:id="1484927944">
      <w:bodyDiv w:val="1"/>
      <w:marLeft w:val="0"/>
      <w:marRight w:val="0"/>
      <w:marTop w:val="0"/>
      <w:marBottom w:val="0"/>
      <w:divBdr>
        <w:top w:val="none" w:sz="0" w:space="0" w:color="auto"/>
        <w:left w:val="none" w:sz="0" w:space="0" w:color="auto"/>
        <w:bottom w:val="none" w:sz="0" w:space="0" w:color="auto"/>
        <w:right w:val="none" w:sz="0" w:space="0" w:color="auto"/>
      </w:divBdr>
    </w:div>
    <w:div w:id="1485470255">
      <w:bodyDiv w:val="1"/>
      <w:marLeft w:val="0"/>
      <w:marRight w:val="0"/>
      <w:marTop w:val="0"/>
      <w:marBottom w:val="0"/>
      <w:divBdr>
        <w:top w:val="none" w:sz="0" w:space="0" w:color="auto"/>
        <w:left w:val="none" w:sz="0" w:space="0" w:color="auto"/>
        <w:bottom w:val="none" w:sz="0" w:space="0" w:color="auto"/>
        <w:right w:val="none" w:sz="0" w:space="0" w:color="auto"/>
      </w:divBdr>
    </w:div>
    <w:div w:id="1500342675">
      <w:bodyDiv w:val="1"/>
      <w:marLeft w:val="0"/>
      <w:marRight w:val="0"/>
      <w:marTop w:val="0"/>
      <w:marBottom w:val="0"/>
      <w:divBdr>
        <w:top w:val="none" w:sz="0" w:space="0" w:color="auto"/>
        <w:left w:val="none" w:sz="0" w:space="0" w:color="auto"/>
        <w:bottom w:val="none" w:sz="0" w:space="0" w:color="auto"/>
        <w:right w:val="none" w:sz="0" w:space="0" w:color="auto"/>
      </w:divBdr>
    </w:div>
    <w:div w:id="1503205564">
      <w:bodyDiv w:val="1"/>
      <w:marLeft w:val="0"/>
      <w:marRight w:val="0"/>
      <w:marTop w:val="0"/>
      <w:marBottom w:val="0"/>
      <w:divBdr>
        <w:top w:val="none" w:sz="0" w:space="0" w:color="auto"/>
        <w:left w:val="none" w:sz="0" w:space="0" w:color="auto"/>
        <w:bottom w:val="none" w:sz="0" w:space="0" w:color="auto"/>
        <w:right w:val="none" w:sz="0" w:space="0" w:color="auto"/>
      </w:divBdr>
    </w:div>
    <w:div w:id="1511289028">
      <w:bodyDiv w:val="1"/>
      <w:marLeft w:val="0"/>
      <w:marRight w:val="0"/>
      <w:marTop w:val="0"/>
      <w:marBottom w:val="0"/>
      <w:divBdr>
        <w:top w:val="none" w:sz="0" w:space="0" w:color="auto"/>
        <w:left w:val="none" w:sz="0" w:space="0" w:color="auto"/>
        <w:bottom w:val="none" w:sz="0" w:space="0" w:color="auto"/>
        <w:right w:val="none" w:sz="0" w:space="0" w:color="auto"/>
      </w:divBdr>
    </w:div>
    <w:div w:id="1511526998">
      <w:bodyDiv w:val="1"/>
      <w:marLeft w:val="0"/>
      <w:marRight w:val="0"/>
      <w:marTop w:val="0"/>
      <w:marBottom w:val="0"/>
      <w:divBdr>
        <w:top w:val="none" w:sz="0" w:space="0" w:color="auto"/>
        <w:left w:val="none" w:sz="0" w:space="0" w:color="auto"/>
        <w:bottom w:val="none" w:sz="0" w:space="0" w:color="auto"/>
        <w:right w:val="none" w:sz="0" w:space="0" w:color="auto"/>
      </w:divBdr>
    </w:div>
    <w:div w:id="1522281696">
      <w:bodyDiv w:val="1"/>
      <w:marLeft w:val="0"/>
      <w:marRight w:val="0"/>
      <w:marTop w:val="0"/>
      <w:marBottom w:val="0"/>
      <w:divBdr>
        <w:top w:val="none" w:sz="0" w:space="0" w:color="auto"/>
        <w:left w:val="none" w:sz="0" w:space="0" w:color="auto"/>
        <w:bottom w:val="none" w:sz="0" w:space="0" w:color="auto"/>
        <w:right w:val="none" w:sz="0" w:space="0" w:color="auto"/>
      </w:divBdr>
    </w:div>
    <w:div w:id="1538541464">
      <w:bodyDiv w:val="1"/>
      <w:marLeft w:val="0"/>
      <w:marRight w:val="0"/>
      <w:marTop w:val="0"/>
      <w:marBottom w:val="0"/>
      <w:divBdr>
        <w:top w:val="none" w:sz="0" w:space="0" w:color="auto"/>
        <w:left w:val="none" w:sz="0" w:space="0" w:color="auto"/>
        <w:bottom w:val="none" w:sz="0" w:space="0" w:color="auto"/>
        <w:right w:val="none" w:sz="0" w:space="0" w:color="auto"/>
      </w:divBdr>
    </w:div>
    <w:div w:id="1540777284">
      <w:bodyDiv w:val="1"/>
      <w:marLeft w:val="0"/>
      <w:marRight w:val="0"/>
      <w:marTop w:val="0"/>
      <w:marBottom w:val="0"/>
      <w:divBdr>
        <w:top w:val="none" w:sz="0" w:space="0" w:color="auto"/>
        <w:left w:val="none" w:sz="0" w:space="0" w:color="auto"/>
        <w:bottom w:val="none" w:sz="0" w:space="0" w:color="auto"/>
        <w:right w:val="none" w:sz="0" w:space="0" w:color="auto"/>
      </w:divBdr>
    </w:div>
    <w:div w:id="1549490867">
      <w:bodyDiv w:val="1"/>
      <w:marLeft w:val="0"/>
      <w:marRight w:val="0"/>
      <w:marTop w:val="0"/>
      <w:marBottom w:val="0"/>
      <w:divBdr>
        <w:top w:val="none" w:sz="0" w:space="0" w:color="auto"/>
        <w:left w:val="none" w:sz="0" w:space="0" w:color="auto"/>
        <w:bottom w:val="none" w:sz="0" w:space="0" w:color="auto"/>
        <w:right w:val="none" w:sz="0" w:space="0" w:color="auto"/>
      </w:divBdr>
    </w:div>
    <w:div w:id="1557427335">
      <w:bodyDiv w:val="1"/>
      <w:marLeft w:val="0"/>
      <w:marRight w:val="0"/>
      <w:marTop w:val="0"/>
      <w:marBottom w:val="0"/>
      <w:divBdr>
        <w:top w:val="none" w:sz="0" w:space="0" w:color="auto"/>
        <w:left w:val="none" w:sz="0" w:space="0" w:color="auto"/>
        <w:bottom w:val="none" w:sz="0" w:space="0" w:color="auto"/>
        <w:right w:val="none" w:sz="0" w:space="0" w:color="auto"/>
      </w:divBdr>
    </w:div>
    <w:div w:id="1561549961">
      <w:bodyDiv w:val="1"/>
      <w:marLeft w:val="0"/>
      <w:marRight w:val="0"/>
      <w:marTop w:val="0"/>
      <w:marBottom w:val="0"/>
      <w:divBdr>
        <w:top w:val="none" w:sz="0" w:space="0" w:color="auto"/>
        <w:left w:val="none" w:sz="0" w:space="0" w:color="auto"/>
        <w:bottom w:val="none" w:sz="0" w:space="0" w:color="auto"/>
        <w:right w:val="none" w:sz="0" w:space="0" w:color="auto"/>
      </w:divBdr>
    </w:div>
    <w:div w:id="1568612559">
      <w:bodyDiv w:val="1"/>
      <w:marLeft w:val="0"/>
      <w:marRight w:val="0"/>
      <w:marTop w:val="0"/>
      <w:marBottom w:val="0"/>
      <w:divBdr>
        <w:top w:val="none" w:sz="0" w:space="0" w:color="auto"/>
        <w:left w:val="none" w:sz="0" w:space="0" w:color="auto"/>
        <w:bottom w:val="none" w:sz="0" w:space="0" w:color="auto"/>
        <w:right w:val="none" w:sz="0" w:space="0" w:color="auto"/>
      </w:divBdr>
    </w:div>
    <w:div w:id="1574197403">
      <w:bodyDiv w:val="1"/>
      <w:marLeft w:val="0"/>
      <w:marRight w:val="0"/>
      <w:marTop w:val="0"/>
      <w:marBottom w:val="0"/>
      <w:divBdr>
        <w:top w:val="none" w:sz="0" w:space="0" w:color="auto"/>
        <w:left w:val="none" w:sz="0" w:space="0" w:color="auto"/>
        <w:bottom w:val="none" w:sz="0" w:space="0" w:color="auto"/>
        <w:right w:val="none" w:sz="0" w:space="0" w:color="auto"/>
      </w:divBdr>
    </w:div>
    <w:div w:id="1575428112">
      <w:bodyDiv w:val="1"/>
      <w:marLeft w:val="0"/>
      <w:marRight w:val="0"/>
      <w:marTop w:val="0"/>
      <w:marBottom w:val="0"/>
      <w:divBdr>
        <w:top w:val="none" w:sz="0" w:space="0" w:color="auto"/>
        <w:left w:val="none" w:sz="0" w:space="0" w:color="auto"/>
        <w:bottom w:val="none" w:sz="0" w:space="0" w:color="auto"/>
        <w:right w:val="none" w:sz="0" w:space="0" w:color="auto"/>
      </w:divBdr>
    </w:div>
    <w:div w:id="1583758734">
      <w:bodyDiv w:val="1"/>
      <w:marLeft w:val="0"/>
      <w:marRight w:val="0"/>
      <w:marTop w:val="0"/>
      <w:marBottom w:val="0"/>
      <w:divBdr>
        <w:top w:val="none" w:sz="0" w:space="0" w:color="auto"/>
        <w:left w:val="none" w:sz="0" w:space="0" w:color="auto"/>
        <w:bottom w:val="none" w:sz="0" w:space="0" w:color="auto"/>
        <w:right w:val="none" w:sz="0" w:space="0" w:color="auto"/>
      </w:divBdr>
    </w:div>
    <w:div w:id="1584870796">
      <w:bodyDiv w:val="1"/>
      <w:marLeft w:val="0"/>
      <w:marRight w:val="0"/>
      <w:marTop w:val="0"/>
      <w:marBottom w:val="0"/>
      <w:divBdr>
        <w:top w:val="none" w:sz="0" w:space="0" w:color="auto"/>
        <w:left w:val="none" w:sz="0" w:space="0" w:color="auto"/>
        <w:bottom w:val="none" w:sz="0" w:space="0" w:color="auto"/>
        <w:right w:val="none" w:sz="0" w:space="0" w:color="auto"/>
      </w:divBdr>
    </w:div>
    <w:div w:id="1594823649">
      <w:bodyDiv w:val="1"/>
      <w:marLeft w:val="0"/>
      <w:marRight w:val="0"/>
      <w:marTop w:val="0"/>
      <w:marBottom w:val="0"/>
      <w:divBdr>
        <w:top w:val="none" w:sz="0" w:space="0" w:color="auto"/>
        <w:left w:val="none" w:sz="0" w:space="0" w:color="auto"/>
        <w:bottom w:val="none" w:sz="0" w:space="0" w:color="auto"/>
        <w:right w:val="none" w:sz="0" w:space="0" w:color="auto"/>
      </w:divBdr>
    </w:div>
    <w:div w:id="1610773957">
      <w:bodyDiv w:val="1"/>
      <w:marLeft w:val="0"/>
      <w:marRight w:val="0"/>
      <w:marTop w:val="0"/>
      <w:marBottom w:val="0"/>
      <w:divBdr>
        <w:top w:val="none" w:sz="0" w:space="0" w:color="auto"/>
        <w:left w:val="none" w:sz="0" w:space="0" w:color="auto"/>
        <w:bottom w:val="none" w:sz="0" w:space="0" w:color="auto"/>
        <w:right w:val="none" w:sz="0" w:space="0" w:color="auto"/>
      </w:divBdr>
    </w:div>
    <w:div w:id="1617787054">
      <w:bodyDiv w:val="1"/>
      <w:marLeft w:val="0"/>
      <w:marRight w:val="0"/>
      <w:marTop w:val="0"/>
      <w:marBottom w:val="0"/>
      <w:divBdr>
        <w:top w:val="none" w:sz="0" w:space="0" w:color="auto"/>
        <w:left w:val="none" w:sz="0" w:space="0" w:color="auto"/>
        <w:bottom w:val="none" w:sz="0" w:space="0" w:color="auto"/>
        <w:right w:val="none" w:sz="0" w:space="0" w:color="auto"/>
      </w:divBdr>
    </w:div>
    <w:div w:id="1617830216">
      <w:bodyDiv w:val="1"/>
      <w:marLeft w:val="0"/>
      <w:marRight w:val="0"/>
      <w:marTop w:val="0"/>
      <w:marBottom w:val="0"/>
      <w:divBdr>
        <w:top w:val="none" w:sz="0" w:space="0" w:color="auto"/>
        <w:left w:val="none" w:sz="0" w:space="0" w:color="auto"/>
        <w:bottom w:val="none" w:sz="0" w:space="0" w:color="auto"/>
        <w:right w:val="none" w:sz="0" w:space="0" w:color="auto"/>
      </w:divBdr>
    </w:div>
    <w:div w:id="1619095119">
      <w:bodyDiv w:val="1"/>
      <w:marLeft w:val="0"/>
      <w:marRight w:val="0"/>
      <w:marTop w:val="0"/>
      <w:marBottom w:val="0"/>
      <w:divBdr>
        <w:top w:val="none" w:sz="0" w:space="0" w:color="auto"/>
        <w:left w:val="none" w:sz="0" w:space="0" w:color="auto"/>
        <w:bottom w:val="none" w:sz="0" w:space="0" w:color="auto"/>
        <w:right w:val="none" w:sz="0" w:space="0" w:color="auto"/>
      </w:divBdr>
    </w:div>
    <w:div w:id="1619481575">
      <w:bodyDiv w:val="1"/>
      <w:marLeft w:val="0"/>
      <w:marRight w:val="0"/>
      <w:marTop w:val="0"/>
      <w:marBottom w:val="0"/>
      <w:divBdr>
        <w:top w:val="none" w:sz="0" w:space="0" w:color="auto"/>
        <w:left w:val="none" w:sz="0" w:space="0" w:color="auto"/>
        <w:bottom w:val="none" w:sz="0" w:space="0" w:color="auto"/>
        <w:right w:val="none" w:sz="0" w:space="0" w:color="auto"/>
      </w:divBdr>
    </w:div>
    <w:div w:id="1653828726">
      <w:bodyDiv w:val="1"/>
      <w:marLeft w:val="0"/>
      <w:marRight w:val="0"/>
      <w:marTop w:val="0"/>
      <w:marBottom w:val="0"/>
      <w:divBdr>
        <w:top w:val="none" w:sz="0" w:space="0" w:color="auto"/>
        <w:left w:val="none" w:sz="0" w:space="0" w:color="auto"/>
        <w:bottom w:val="none" w:sz="0" w:space="0" w:color="auto"/>
        <w:right w:val="none" w:sz="0" w:space="0" w:color="auto"/>
      </w:divBdr>
    </w:div>
    <w:div w:id="1665667262">
      <w:bodyDiv w:val="1"/>
      <w:marLeft w:val="0"/>
      <w:marRight w:val="0"/>
      <w:marTop w:val="0"/>
      <w:marBottom w:val="0"/>
      <w:divBdr>
        <w:top w:val="none" w:sz="0" w:space="0" w:color="auto"/>
        <w:left w:val="none" w:sz="0" w:space="0" w:color="auto"/>
        <w:bottom w:val="none" w:sz="0" w:space="0" w:color="auto"/>
        <w:right w:val="none" w:sz="0" w:space="0" w:color="auto"/>
      </w:divBdr>
    </w:div>
    <w:div w:id="1673793461">
      <w:bodyDiv w:val="1"/>
      <w:marLeft w:val="0"/>
      <w:marRight w:val="0"/>
      <w:marTop w:val="0"/>
      <w:marBottom w:val="0"/>
      <w:divBdr>
        <w:top w:val="none" w:sz="0" w:space="0" w:color="auto"/>
        <w:left w:val="none" w:sz="0" w:space="0" w:color="auto"/>
        <w:bottom w:val="none" w:sz="0" w:space="0" w:color="auto"/>
        <w:right w:val="none" w:sz="0" w:space="0" w:color="auto"/>
      </w:divBdr>
    </w:div>
    <w:div w:id="1685595055">
      <w:bodyDiv w:val="1"/>
      <w:marLeft w:val="0"/>
      <w:marRight w:val="0"/>
      <w:marTop w:val="0"/>
      <w:marBottom w:val="0"/>
      <w:divBdr>
        <w:top w:val="none" w:sz="0" w:space="0" w:color="auto"/>
        <w:left w:val="none" w:sz="0" w:space="0" w:color="auto"/>
        <w:bottom w:val="none" w:sz="0" w:space="0" w:color="auto"/>
        <w:right w:val="none" w:sz="0" w:space="0" w:color="auto"/>
      </w:divBdr>
    </w:div>
    <w:div w:id="1690832223">
      <w:bodyDiv w:val="1"/>
      <w:marLeft w:val="0"/>
      <w:marRight w:val="0"/>
      <w:marTop w:val="0"/>
      <w:marBottom w:val="0"/>
      <w:divBdr>
        <w:top w:val="none" w:sz="0" w:space="0" w:color="auto"/>
        <w:left w:val="none" w:sz="0" w:space="0" w:color="auto"/>
        <w:bottom w:val="none" w:sz="0" w:space="0" w:color="auto"/>
        <w:right w:val="none" w:sz="0" w:space="0" w:color="auto"/>
      </w:divBdr>
    </w:div>
    <w:div w:id="1693845176">
      <w:bodyDiv w:val="1"/>
      <w:marLeft w:val="0"/>
      <w:marRight w:val="0"/>
      <w:marTop w:val="0"/>
      <w:marBottom w:val="0"/>
      <w:divBdr>
        <w:top w:val="none" w:sz="0" w:space="0" w:color="auto"/>
        <w:left w:val="none" w:sz="0" w:space="0" w:color="auto"/>
        <w:bottom w:val="none" w:sz="0" w:space="0" w:color="auto"/>
        <w:right w:val="none" w:sz="0" w:space="0" w:color="auto"/>
      </w:divBdr>
    </w:div>
    <w:div w:id="1701055198">
      <w:bodyDiv w:val="1"/>
      <w:marLeft w:val="0"/>
      <w:marRight w:val="0"/>
      <w:marTop w:val="0"/>
      <w:marBottom w:val="0"/>
      <w:divBdr>
        <w:top w:val="none" w:sz="0" w:space="0" w:color="auto"/>
        <w:left w:val="none" w:sz="0" w:space="0" w:color="auto"/>
        <w:bottom w:val="none" w:sz="0" w:space="0" w:color="auto"/>
        <w:right w:val="none" w:sz="0" w:space="0" w:color="auto"/>
      </w:divBdr>
    </w:div>
    <w:div w:id="1704088816">
      <w:bodyDiv w:val="1"/>
      <w:marLeft w:val="0"/>
      <w:marRight w:val="0"/>
      <w:marTop w:val="0"/>
      <w:marBottom w:val="0"/>
      <w:divBdr>
        <w:top w:val="none" w:sz="0" w:space="0" w:color="auto"/>
        <w:left w:val="none" w:sz="0" w:space="0" w:color="auto"/>
        <w:bottom w:val="none" w:sz="0" w:space="0" w:color="auto"/>
        <w:right w:val="none" w:sz="0" w:space="0" w:color="auto"/>
      </w:divBdr>
    </w:div>
    <w:div w:id="1711297209">
      <w:bodyDiv w:val="1"/>
      <w:marLeft w:val="0"/>
      <w:marRight w:val="0"/>
      <w:marTop w:val="0"/>
      <w:marBottom w:val="0"/>
      <w:divBdr>
        <w:top w:val="none" w:sz="0" w:space="0" w:color="auto"/>
        <w:left w:val="none" w:sz="0" w:space="0" w:color="auto"/>
        <w:bottom w:val="none" w:sz="0" w:space="0" w:color="auto"/>
        <w:right w:val="none" w:sz="0" w:space="0" w:color="auto"/>
      </w:divBdr>
    </w:div>
    <w:div w:id="1718242763">
      <w:bodyDiv w:val="1"/>
      <w:marLeft w:val="0"/>
      <w:marRight w:val="0"/>
      <w:marTop w:val="0"/>
      <w:marBottom w:val="0"/>
      <w:divBdr>
        <w:top w:val="none" w:sz="0" w:space="0" w:color="auto"/>
        <w:left w:val="none" w:sz="0" w:space="0" w:color="auto"/>
        <w:bottom w:val="none" w:sz="0" w:space="0" w:color="auto"/>
        <w:right w:val="none" w:sz="0" w:space="0" w:color="auto"/>
      </w:divBdr>
    </w:div>
    <w:div w:id="1725371687">
      <w:bodyDiv w:val="1"/>
      <w:marLeft w:val="0"/>
      <w:marRight w:val="0"/>
      <w:marTop w:val="0"/>
      <w:marBottom w:val="0"/>
      <w:divBdr>
        <w:top w:val="none" w:sz="0" w:space="0" w:color="auto"/>
        <w:left w:val="none" w:sz="0" w:space="0" w:color="auto"/>
        <w:bottom w:val="none" w:sz="0" w:space="0" w:color="auto"/>
        <w:right w:val="none" w:sz="0" w:space="0" w:color="auto"/>
      </w:divBdr>
    </w:div>
    <w:div w:id="1739353448">
      <w:bodyDiv w:val="1"/>
      <w:marLeft w:val="0"/>
      <w:marRight w:val="0"/>
      <w:marTop w:val="0"/>
      <w:marBottom w:val="0"/>
      <w:divBdr>
        <w:top w:val="none" w:sz="0" w:space="0" w:color="auto"/>
        <w:left w:val="none" w:sz="0" w:space="0" w:color="auto"/>
        <w:bottom w:val="none" w:sz="0" w:space="0" w:color="auto"/>
        <w:right w:val="none" w:sz="0" w:space="0" w:color="auto"/>
      </w:divBdr>
    </w:div>
    <w:div w:id="1748115827">
      <w:bodyDiv w:val="1"/>
      <w:marLeft w:val="0"/>
      <w:marRight w:val="0"/>
      <w:marTop w:val="0"/>
      <w:marBottom w:val="0"/>
      <w:divBdr>
        <w:top w:val="none" w:sz="0" w:space="0" w:color="auto"/>
        <w:left w:val="none" w:sz="0" w:space="0" w:color="auto"/>
        <w:bottom w:val="none" w:sz="0" w:space="0" w:color="auto"/>
        <w:right w:val="none" w:sz="0" w:space="0" w:color="auto"/>
      </w:divBdr>
    </w:div>
    <w:div w:id="1756511618">
      <w:bodyDiv w:val="1"/>
      <w:marLeft w:val="0"/>
      <w:marRight w:val="0"/>
      <w:marTop w:val="0"/>
      <w:marBottom w:val="0"/>
      <w:divBdr>
        <w:top w:val="none" w:sz="0" w:space="0" w:color="auto"/>
        <w:left w:val="none" w:sz="0" w:space="0" w:color="auto"/>
        <w:bottom w:val="none" w:sz="0" w:space="0" w:color="auto"/>
        <w:right w:val="none" w:sz="0" w:space="0" w:color="auto"/>
      </w:divBdr>
    </w:div>
    <w:div w:id="1762795946">
      <w:bodyDiv w:val="1"/>
      <w:marLeft w:val="0"/>
      <w:marRight w:val="0"/>
      <w:marTop w:val="0"/>
      <w:marBottom w:val="0"/>
      <w:divBdr>
        <w:top w:val="none" w:sz="0" w:space="0" w:color="auto"/>
        <w:left w:val="none" w:sz="0" w:space="0" w:color="auto"/>
        <w:bottom w:val="none" w:sz="0" w:space="0" w:color="auto"/>
        <w:right w:val="none" w:sz="0" w:space="0" w:color="auto"/>
      </w:divBdr>
    </w:div>
    <w:div w:id="1769933851">
      <w:bodyDiv w:val="1"/>
      <w:marLeft w:val="0"/>
      <w:marRight w:val="0"/>
      <w:marTop w:val="0"/>
      <w:marBottom w:val="0"/>
      <w:divBdr>
        <w:top w:val="none" w:sz="0" w:space="0" w:color="auto"/>
        <w:left w:val="none" w:sz="0" w:space="0" w:color="auto"/>
        <w:bottom w:val="none" w:sz="0" w:space="0" w:color="auto"/>
        <w:right w:val="none" w:sz="0" w:space="0" w:color="auto"/>
      </w:divBdr>
    </w:div>
    <w:div w:id="1779518542">
      <w:bodyDiv w:val="1"/>
      <w:marLeft w:val="0"/>
      <w:marRight w:val="0"/>
      <w:marTop w:val="0"/>
      <w:marBottom w:val="0"/>
      <w:divBdr>
        <w:top w:val="none" w:sz="0" w:space="0" w:color="auto"/>
        <w:left w:val="none" w:sz="0" w:space="0" w:color="auto"/>
        <w:bottom w:val="none" w:sz="0" w:space="0" w:color="auto"/>
        <w:right w:val="none" w:sz="0" w:space="0" w:color="auto"/>
      </w:divBdr>
    </w:div>
    <w:div w:id="1786193885">
      <w:bodyDiv w:val="1"/>
      <w:marLeft w:val="0"/>
      <w:marRight w:val="0"/>
      <w:marTop w:val="0"/>
      <w:marBottom w:val="0"/>
      <w:divBdr>
        <w:top w:val="none" w:sz="0" w:space="0" w:color="auto"/>
        <w:left w:val="none" w:sz="0" w:space="0" w:color="auto"/>
        <w:bottom w:val="none" w:sz="0" w:space="0" w:color="auto"/>
        <w:right w:val="none" w:sz="0" w:space="0" w:color="auto"/>
      </w:divBdr>
    </w:div>
    <w:div w:id="1795714699">
      <w:bodyDiv w:val="1"/>
      <w:marLeft w:val="0"/>
      <w:marRight w:val="0"/>
      <w:marTop w:val="0"/>
      <w:marBottom w:val="0"/>
      <w:divBdr>
        <w:top w:val="none" w:sz="0" w:space="0" w:color="auto"/>
        <w:left w:val="none" w:sz="0" w:space="0" w:color="auto"/>
        <w:bottom w:val="none" w:sz="0" w:space="0" w:color="auto"/>
        <w:right w:val="none" w:sz="0" w:space="0" w:color="auto"/>
      </w:divBdr>
    </w:div>
    <w:div w:id="1806385159">
      <w:bodyDiv w:val="1"/>
      <w:marLeft w:val="0"/>
      <w:marRight w:val="0"/>
      <w:marTop w:val="0"/>
      <w:marBottom w:val="0"/>
      <w:divBdr>
        <w:top w:val="none" w:sz="0" w:space="0" w:color="auto"/>
        <w:left w:val="none" w:sz="0" w:space="0" w:color="auto"/>
        <w:bottom w:val="none" w:sz="0" w:space="0" w:color="auto"/>
        <w:right w:val="none" w:sz="0" w:space="0" w:color="auto"/>
      </w:divBdr>
    </w:div>
    <w:div w:id="1826042179">
      <w:bodyDiv w:val="1"/>
      <w:marLeft w:val="0"/>
      <w:marRight w:val="0"/>
      <w:marTop w:val="0"/>
      <w:marBottom w:val="0"/>
      <w:divBdr>
        <w:top w:val="none" w:sz="0" w:space="0" w:color="auto"/>
        <w:left w:val="none" w:sz="0" w:space="0" w:color="auto"/>
        <w:bottom w:val="none" w:sz="0" w:space="0" w:color="auto"/>
        <w:right w:val="none" w:sz="0" w:space="0" w:color="auto"/>
      </w:divBdr>
    </w:div>
    <w:div w:id="1829470069">
      <w:bodyDiv w:val="1"/>
      <w:marLeft w:val="0"/>
      <w:marRight w:val="0"/>
      <w:marTop w:val="0"/>
      <w:marBottom w:val="0"/>
      <w:divBdr>
        <w:top w:val="none" w:sz="0" w:space="0" w:color="auto"/>
        <w:left w:val="none" w:sz="0" w:space="0" w:color="auto"/>
        <w:bottom w:val="none" w:sz="0" w:space="0" w:color="auto"/>
        <w:right w:val="none" w:sz="0" w:space="0" w:color="auto"/>
      </w:divBdr>
    </w:div>
    <w:div w:id="1832209394">
      <w:bodyDiv w:val="1"/>
      <w:marLeft w:val="0"/>
      <w:marRight w:val="0"/>
      <w:marTop w:val="0"/>
      <w:marBottom w:val="0"/>
      <w:divBdr>
        <w:top w:val="none" w:sz="0" w:space="0" w:color="auto"/>
        <w:left w:val="none" w:sz="0" w:space="0" w:color="auto"/>
        <w:bottom w:val="none" w:sz="0" w:space="0" w:color="auto"/>
        <w:right w:val="none" w:sz="0" w:space="0" w:color="auto"/>
      </w:divBdr>
    </w:div>
    <w:div w:id="1841046878">
      <w:bodyDiv w:val="1"/>
      <w:marLeft w:val="0"/>
      <w:marRight w:val="0"/>
      <w:marTop w:val="0"/>
      <w:marBottom w:val="0"/>
      <w:divBdr>
        <w:top w:val="none" w:sz="0" w:space="0" w:color="auto"/>
        <w:left w:val="none" w:sz="0" w:space="0" w:color="auto"/>
        <w:bottom w:val="none" w:sz="0" w:space="0" w:color="auto"/>
        <w:right w:val="none" w:sz="0" w:space="0" w:color="auto"/>
      </w:divBdr>
    </w:div>
    <w:div w:id="1844542258">
      <w:bodyDiv w:val="1"/>
      <w:marLeft w:val="0"/>
      <w:marRight w:val="0"/>
      <w:marTop w:val="0"/>
      <w:marBottom w:val="0"/>
      <w:divBdr>
        <w:top w:val="none" w:sz="0" w:space="0" w:color="auto"/>
        <w:left w:val="none" w:sz="0" w:space="0" w:color="auto"/>
        <w:bottom w:val="none" w:sz="0" w:space="0" w:color="auto"/>
        <w:right w:val="none" w:sz="0" w:space="0" w:color="auto"/>
      </w:divBdr>
    </w:div>
    <w:div w:id="1851869544">
      <w:bodyDiv w:val="1"/>
      <w:marLeft w:val="0"/>
      <w:marRight w:val="0"/>
      <w:marTop w:val="0"/>
      <w:marBottom w:val="0"/>
      <w:divBdr>
        <w:top w:val="none" w:sz="0" w:space="0" w:color="auto"/>
        <w:left w:val="none" w:sz="0" w:space="0" w:color="auto"/>
        <w:bottom w:val="none" w:sz="0" w:space="0" w:color="auto"/>
        <w:right w:val="none" w:sz="0" w:space="0" w:color="auto"/>
      </w:divBdr>
    </w:div>
    <w:div w:id="1855142493">
      <w:bodyDiv w:val="1"/>
      <w:marLeft w:val="0"/>
      <w:marRight w:val="0"/>
      <w:marTop w:val="0"/>
      <w:marBottom w:val="0"/>
      <w:divBdr>
        <w:top w:val="none" w:sz="0" w:space="0" w:color="auto"/>
        <w:left w:val="none" w:sz="0" w:space="0" w:color="auto"/>
        <w:bottom w:val="none" w:sz="0" w:space="0" w:color="auto"/>
        <w:right w:val="none" w:sz="0" w:space="0" w:color="auto"/>
      </w:divBdr>
    </w:div>
    <w:div w:id="1863396448">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72717379">
      <w:bodyDiv w:val="1"/>
      <w:marLeft w:val="0"/>
      <w:marRight w:val="0"/>
      <w:marTop w:val="0"/>
      <w:marBottom w:val="0"/>
      <w:divBdr>
        <w:top w:val="none" w:sz="0" w:space="0" w:color="auto"/>
        <w:left w:val="none" w:sz="0" w:space="0" w:color="auto"/>
        <w:bottom w:val="none" w:sz="0" w:space="0" w:color="auto"/>
        <w:right w:val="none" w:sz="0" w:space="0" w:color="auto"/>
      </w:divBdr>
    </w:div>
    <w:div w:id="1889292763">
      <w:bodyDiv w:val="1"/>
      <w:marLeft w:val="0"/>
      <w:marRight w:val="0"/>
      <w:marTop w:val="0"/>
      <w:marBottom w:val="0"/>
      <w:divBdr>
        <w:top w:val="none" w:sz="0" w:space="0" w:color="auto"/>
        <w:left w:val="none" w:sz="0" w:space="0" w:color="auto"/>
        <w:bottom w:val="none" w:sz="0" w:space="0" w:color="auto"/>
        <w:right w:val="none" w:sz="0" w:space="0" w:color="auto"/>
      </w:divBdr>
    </w:div>
    <w:div w:id="1900281884">
      <w:bodyDiv w:val="1"/>
      <w:marLeft w:val="0"/>
      <w:marRight w:val="0"/>
      <w:marTop w:val="0"/>
      <w:marBottom w:val="0"/>
      <w:divBdr>
        <w:top w:val="none" w:sz="0" w:space="0" w:color="auto"/>
        <w:left w:val="none" w:sz="0" w:space="0" w:color="auto"/>
        <w:bottom w:val="none" w:sz="0" w:space="0" w:color="auto"/>
        <w:right w:val="none" w:sz="0" w:space="0" w:color="auto"/>
      </w:divBdr>
    </w:div>
    <w:div w:id="1907838551">
      <w:bodyDiv w:val="1"/>
      <w:marLeft w:val="0"/>
      <w:marRight w:val="0"/>
      <w:marTop w:val="0"/>
      <w:marBottom w:val="0"/>
      <w:divBdr>
        <w:top w:val="none" w:sz="0" w:space="0" w:color="auto"/>
        <w:left w:val="none" w:sz="0" w:space="0" w:color="auto"/>
        <w:bottom w:val="none" w:sz="0" w:space="0" w:color="auto"/>
        <w:right w:val="none" w:sz="0" w:space="0" w:color="auto"/>
      </w:divBdr>
    </w:div>
    <w:div w:id="1912544921">
      <w:bodyDiv w:val="1"/>
      <w:marLeft w:val="0"/>
      <w:marRight w:val="0"/>
      <w:marTop w:val="0"/>
      <w:marBottom w:val="0"/>
      <w:divBdr>
        <w:top w:val="none" w:sz="0" w:space="0" w:color="auto"/>
        <w:left w:val="none" w:sz="0" w:space="0" w:color="auto"/>
        <w:bottom w:val="none" w:sz="0" w:space="0" w:color="auto"/>
        <w:right w:val="none" w:sz="0" w:space="0" w:color="auto"/>
      </w:divBdr>
    </w:div>
    <w:div w:id="1924293562">
      <w:bodyDiv w:val="1"/>
      <w:marLeft w:val="0"/>
      <w:marRight w:val="0"/>
      <w:marTop w:val="0"/>
      <w:marBottom w:val="0"/>
      <w:divBdr>
        <w:top w:val="none" w:sz="0" w:space="0" w:color="auto"/>
        <w:left w:val="none" w:sz="0" w:space="0" w:color="auto"/>
        <w:bottom w:val="none" w:sz="0" w:space="0" w:color="auto"/>
        <w:right w:val="none" w:sz="0" w:space="0" w:color="auto"/>
      </w:divBdr>
    </w:div>
    <w:div w:id="1929145747">
      <w:bodyDiv w:val="1"/>
      <w:marLeft w:val="0"/>
      <w:marRight w:val="0"/>
      <w:marTop w:val="0"/>
      <w:marBottom w:val="0"/>
      <w:divBdr>
        <w:top w:val="none" w:sz="0" w:space="0" w:color="auto"/>
        <w:left w:val="none" w:sz="0" w:space="0" w:color="auto"/>
        <w:bottom w:val="none" w:sz="0" w:space="0" w:color="auto"/>
        <w:right w:val="none" w:sz="0" w:space="0" w:color="auto"/>
      </w:divBdr>
    </w:div>
    <w:div w:id="1935748760">
      <w:bodyDiv w:val="1"/>
      <w:marLeft w:val="0"/>
      <w:marRight w:val="0"/>
      <w:marTop w:val="0"/>
      <w:marBottom w:val="0"/>
      <w:divBdr>
        <w:top w:val="none" w:sz="0" w:space="0" w:color="auto"/>
        <w:left w:val="none" w:sz="0" w:space="0" w:color="auto"/>
        <w:bottom w:val="none" w:sz="0" w:space="0" w:color="auto"/>
        <w:right w:val="none" w:sz="0" w:space="0" w:color="auto"/>
      </w:divBdr>
    </w:div>
    <w:div w:id="1945305781">
      <w:bodyDiv w:val="1"/>
      <w:marLeft w:val="0"/>
      <w:marRight w:val="0"/>
      <w:marTop w:val="0"/>
      <w:marBottom w:val="0"/>
      <w:divBdr>
        <w:top w:val="none" w:sz="0" w:space="0" w:color="auto"/>
        <w:left w:val="none" w:sz="0" w:space="0" w:color="auto"/>
        <w:bottom w:val="none" w:sz="0" w:space="0" w:color="auto"/>
        <w:right w:val="none" w:sz="0" w:space="0" w:color="auto"/>
      </w:divBdr>
    </w:div>
    <w:div w:id="1951817865">
      <w:bodyDiv w:val="1"/>
      <w:marLeft w:val="0"/>
      <w:marRight w:val="0"/>
      <w:marTop w:val="0"/>
      <w:marBottom w:val="0"/>
      <w:divBdr>
        <w:top w:val="none" w:sz="0" w:space="0" w:color="auto"/>
        <w:left w:val="none" w:sz="0" w:space="0" w:color="auto"/>
        <w:bottom w:val="none" w:sz="0" w:space="0" w:color="auto"/>
        <w:right w:val="none" w:sz="0" w:space="0" w:color="auto"/>
      </w:divBdr>
    </w:div>
    <w:div w:id="1956254654">
      <w:bodyDiv w:val="1"/>
      <w:marLeft w:val="0"/>
      <w:marRight w:val="0"/>
      <w:marTop w:val="0"/>
      <w:marBottom w:val="0"/>
      <w:divBdr>
        <w:top w:val="none" w:sz="0" w:space="0" w:color="auto"/>
        <w:left w:val="none" w:sz="0" w:space="0" w:color="auto"/>
        <w:bottom w:val="none" w:sz="0" w:space="0" w:color="auto"/>
        <w:right w:val="none" w:sz="0" w:space="0" w:color="auto"/>
      </w:divBdr>
    </w:div>
    <w:div w:id="1960183653">
      <w:bodyDiv w:val="1"/>
      <w:marLeft w:val="0"/>
      <w:marRight w:val="0"/>
      <w:marTop w:val="0"/>
      <w:marBottom w:val="0"/>
      <w:divBdr>
        <w:top w:val="none" w:sz="0" w:space="0" w:color="auto"/>
        <w:left w:val="none" w:sz="0" w:space="0" w:color="auto"/>
        <w:bottom w:val="none" w:sz="0" w:space="0" w:color="auto"/>
        <w:right w:val="none" w:sz="0" w:space="0" w:color="auto"/>
      </w:divBdr>
    </w:div>
    <w:div w:id="1971012064">
      <w:bodyDiv w:val="1"/>
      <w:marLeft w:val="0"/>
      <w:marRight w:val="0"/>
      <w:marTop w:val="0"/>
      <w:marBottom w:val="0"/>
      <w:divBdr>
        <w:top w:val="none" w:sz="0" w:space="0" w:color="auto"/>
        <w:left w:val="none" w:sz="0" w:space="0" w:color="auto"/>
        <w:bottom w:val="none" w:sz="0" w:space="0" w:color="auto"/>
        <w:right w:val="none" w:sz="0" w:space="0" w:color="auto"/>
      </w:divBdr>
    </w:div>
    <w:div w:id="1998531135">
      <w:bodyDiv w:val="1"/>
      <w:marLeft w:val="0"/>
      <w:marRight w:val="0"/>
      <w:marTop w:val="0"/>
      <w:marBottom w:val="0"/>
      <w:divBdr>
        <w:top w:val="none" w:sz="0" w:space="0" w:color="auto"/>
        <w:left w:val="none" w:sz="0" w:space="0" w:color="auto"/>
        <w:bottom w:val="none" w:sz="0" w:space="0" w:color="auto"/>
        <w:right w:val="none" w:sz="0" w:space="0" w:color="auto"/>
      </w:divBdr>
    </w:div>
    <w:div w:id="2003774714">
      <w:bodyDiv w:val="1"/>
      <w:marLeft w:val="0"/>
      <w:marRight w:val="0"/>
      <w:marTop w:val="0"/>
      <w:marBottom w:val="0"/>
      <w:divBdr>
        <w:top w:val="none" w:sz="0" w:space="0" w:color="auto"/>
        <w:left w:val="none" w:sz="0" w:space="0" w:color="auto"/>
        <w:bottom w:val="none" w:sz="0" w:space="0" w:color="auto"/>
        <w:right w:val="none" w:sz="0" w:space="0" w:color="auto"/>
      </w:divBdr>
    </w:div>
    <w:div w:id="2016807497">
      <w:bodyDiv w:val="1"/>
      <w:marLeft w:val="0"/>
      <w:marRight w:val="0"/>
      <w:marTop w:val="0"/>
      <w:marBottom w:val="0"/>
      <w:divBdr>
        <w:top w:val="none" w:sz="0" w:space="0" w:color="auto"/>
        <w:left w:val="none" w:sz="0" w:space="0" w:color="auto"/>
        <w:bottom w:val="none" w:sz="0" w:space="0" w:color="auto"/>
        <w:right w:val="none" w:sz="0" w:space="0" w:color="auto"/>
      </w:divBdr>
    </w:div>
    <w:div w:id="2020307647">
      <w:bodyDiv w:val="1"/>
      <w:marLeft w:val="0"/>
      <w:marRight w:val="0"/>
      <w:marTop w:val="0"/>
      <w:marBottom w:val="0"/>
      <w:divBdr>
        <w:top w:val="none" w:sz="0" w:space="0" w:color="auto"/>
        <w:left w:val="none" w:sz="0" w:space="0" w:color="auto"/>
        <w:bottom w:val="none" w:sz="0" w:space="0" w:color="auto"/>
        <w:right w:val="none" w:sz="0" w:space="0" w:color="auto"/>
      </w:divBdr>
    </w:div>
    <w:div w:id="2027319330">
      <w:bodyDiv w:val="1"/>
      <w:marLeft w:val="0"/>
      <w:marRight w:val="0"/>
      <w:marTop w:val="0"/>
      <w:marBottom w:val="0"/>
      <w:divBdr>
        <w:top w:val="none" w:sz="0" w:space="0" w:color="auto"/>
        <w:left w:val="none" w:sz="0" w:space="0" w:color="auto"/>
        <w:bottom w:val="none" w:sz="0" w:space="0" w:color="auto"/>
        <w:right w:val="none" w:sz="0" w:space="0" w:color="auto"/>
      </w:divBdr>
    </w:div>
    <w:div w:id="2035039420">
      <w:bodyDiv w:val="1"/>
      <w:marLeft w:val="0"/>
      <w:marRight w:val="0"/>
      <w:marTop w:val="0"/>
      <w:marBottom w:val="0"/>
      <w:divBdr>
        <w:top w:val="none" w:sz="0" w:space="0" w:color="auto"/>
        <w:left w:val="none" w:sz="0" w:space="0" w:color="auto"/>
        <w:bottom w:val="none" w:sz="0" w:space="0" w:color="auto"/>
        <w:right w:val="none" w:sz="0" w:space="0" w:color="auto"/>
      </w:divBdr>
    </w:div>
    <w:div w:id="2049839349">
      <w:bodyDiv w:val="1"/>
      <w:marLeft w:val="0"/>
      <w:marRight w:val="0"/>
      <w:marTop w:val="0"/>
      <w:marBottom w:val="0"/>
      <w:divBdr>
        <w:top w:val="none" w:sz="0" w:space="0" w:color="auto"/>
        <w:left w:val="none" w:sz="0" w:space="0" w:color="auto"/>
        <w:bottom w:val="none" w:sz="0" w:space="0" w:color="auto"/>
        <w:right w:val="none" w:sz="0" w:space="0" w:color="auto"/>
      </w:divBdr>
    </w:div>
    <w:div w:id="2064671227">
      <w:bodyDiv w:val="1"/>
      <w:marLeft w:val="0"/>
      <w:marRight w:val="0"/>
      <w:marTop w:val="0"/>
      <w:marBottom w:val="0"/>
      <w:divBdr>
        <w:top w:val="none" w:sz="0" w:space="0" w:color="auto"/>
        <w:left w:val="none" w:sz="0" w:space="0" w:color="auto"/>
        <w:bottom w:val="none" w:sz="0" w:space="0" w:color="auto"/>
        <w:right w:val="none" w:sz="0" w:space="0" w:color="auto"/>
      </w:divBdr>
    </w:div>
    <w:div w:id="207030086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5079285">
      <w:bodyDiv w:val="1"/>
      <w:marLeft w:val="0"/>
      <w:marRight w:val="0"/>
      <w:marTop w:val="0"/>
      <w:marBottom w:val="0"/>
      <w:divBdr>
        <w:top w:val="none" w:sz="0" w:space="0" w:color="auto"/>
        <w:left w:val="none" w:sz="0" w:space="0" w:color="auto"/>
        <w:bottom w:val="none" w:sz="0" w:space="0" w:color="auto"/>
        <w:right w:val="none" w:sz="0" w:space="0" w:color="auto"/>
      </w:divBdr>
    </w:div>
    <w:div w:id="2078091941">
      <w:bodyDiv w:val="1"/>
      <w:marLeft w:val="0"/>
      <w:marRight w:val="0"/>
      <w:marTop w:val="0"/>
      <w:marBottom w:val="0"/>
      <w:divBdr>
        <w:top w:val="none" w:sz="0" w:space="0" w:color="auto"/>
        <w:left w:val="none" w:sz="0" w:space="0" w:color="auto"/>
        <w:bottom w:val="none" w:sz="0" w:space="0" w:color="auto"/>
        <w:right w:val="none" w:sz="0" w:space="0" w:color="auto"/>
      </w:divBdr>
    </w:div>
    <w:div w:id="2079547390">
      <w:bodyDiv w:val="1"/>
      <w:marLeft w:val="0"/>
      <w:marRight w:val="0"/>
      <w:marTop w:val="0"/>
      <w:marBottom w:val="0"/>
      <w:divBdr>
        <w:top w:val="none" w:sz="0" w:space="0" w:color="auto"/>
        <w:left w:val="none" w:sz="0" w:space="0" w:color="auto"/>
        <w:bottom w:val="none" w:sz="0" w:space="0" w:color="auto"/>
        <w:right w:val="none" w:sz="0" w:space="0" w:color="auto"/>
      </w:divBdr>
    </w:div>
    <w:div w:id="2081562192">
      <w:bodyDiv w:val="1"/>
      <w:marLeft w:val="0"/>
      <w:marRight w:val="0"/>
      <w:marTop w:val="0"/>
      <w:marBottom w:val="0"/>
      <w:divBdr>
        <w:top w:val="none" w:sz="0" w:space="0" w:color="auto"/>
        <w:left w:val="none" w:sz="0" w:space="0" w:color="auto"/>
        <w:bottom w:val="none" w:sz="0" w:space="0" w:color="auto"/>
        <w:right w:val="none" w:sz="0" w:space="0" w:color="auto"/>
      </w:divBdr>
    </w:div>
    <w:div w:id="2082868643">
      <w:bodyDiv w:val="1"/>
      <w:marLeft w:val="0"/>
      <w:marRight w:val="0"/>
      <w:marTop w:val="0"/>
      <w:marBottom w:val="0"/>
      <w:divBdr>
        <w:top w:val="none" w:sz="0" w:space="0" w:color="auto"/>
        <w:left w:val="none" w:sz="0" w:space="0" w:color="auto"/>
        <w:bottom w:val="none" w:sz="0" w:space="0" w:color="auto"/>
        <w:right w:val="none" w:sz="0" w:space="0" w:color="auto"/>
      </w:divBdr>
    </w:div>
    <w:div w:id="2089424403">
      <w:bodyDiv w:val="1"/>
      <w:marLeft w:val="0"/>
      <w:marRight w:val="0"/>
      <w:marTop w:val="0"/>
      <w:marBottom w:val="0"/>
      <w:divBdr>
        <w:top w:val="none" w:sz="0" w:space="0" w:color="auto"/>
        <w:left w:val="none" w:sz="0" w:space="0" w:color="auto"/>
        <w:bottom w:val="none" w:sz="0" w:space="0" w:color="auto"/>
        <w:right w:val="none" w:sz="0" w:space="0" w:color="auto"/>
      </w:divBdr>
    </w:div>
    <w:div w:id="2094038731">
      <w:bodyDiv w:val="1"/>
      <w:marLeft w:val="0"/>
      <w:marRight w:val="0"/>
      <w:marTop w:val="0"/>
      <w:marBottom w:val="0"/>
      <w:divBdr>
        <w:top w:val="none" w:sz="0" w:space="0" w:color="auto"/>
        <w:left w:val="none" w:sz="0" w:space="0" w:color="auto"/>
        <w:bottom w:val="none" w:sz="0" w:space="0" w:color="auto"/>
        <w:right w:val="none" w:sz="0" w:space="0" w:color="auto"/>
      </w:divBdr>
    </w:div>
    <w:div w:id="2102558260">
      <w:bodyDiv w:val="1"/>
      <w:marLeft w:val="0"/>
      <w:marRight w:val="0"/>
      <w:marTop w:val="0"/>
      <w:marBottom w:val="0"/>
      <w:divBdr>
        <w:top w:val="none" w:sz="0" w:space="0" w:color="auto"/>
        <w:left w:val="none" w:sz="0" w:space="0" w:color="auto"/>
        <w:bottom w:val="none" w:sz="0" w:space="0" w:color="auto"/>
        <w:right w:val="none" w:sz="0" w:space="0" w:color="auto"/>
      </w:divBdr>
    </w:div>
    <w:div w:id="2108454638">
      <w:bodyDiv w:val="1"/>
      <w:marLeft w:val="0"/>
      <w:marRight w:val="0"/>
      <w:marTop w:val="0"/>
      <w:marBottom w:val="0"/>
      <w:divBdr>
        <w:top w:val="none" w:sz="0" w:space="0" w:color="auto"/>
        <w:left w:val="none" w:sz="0" w:space="0" w:color="auto"/>
        <w:bottom w:val="none" w:sz="0" w:space="0" w:color="auto"/>
        <w:right w:val="none" w:sz="0" w:space="0" w:color="auto"/>
      </w:divBdr>
    </w:div>
    <w:div w:id="2111854174">
      <w:bodyDiv w:val="1"/>
      <w:marLeft w:val="0"/>
      <w:marRight w:val="0"/>
      <w:marTop w:val="0"/>
      <w:marBottom w:val="0"/>
      <w:divBdr>
        <w:top w:val="none" w:sz="0" w:space="0" w:color="auto"/>
        <w:left w:val="none" w:sz="0" w:space="0" w:color="auto"/>
        <w:bottom w:val="none" w:sz="0" w:space="0" w:color="auto"/>
        <w:right w:val="none" w:sz="0" w:space="0" w:color="auto"/>
      </w:divBdr>
    </w:div>
    <w:div w:id="2117483490">
      <w:bodyDiv w:val="1"/>
      <w:marLeft w:val="0"/>
      <w:marRight w:val="0"/>
      <w:marTop w:val="0"/>
      <w:marBottom w:val="0"/>
      <w:divBdr>
        <w:top w:val="none" w:sz="0" w:space="0" w:color="auto"/>
        <w:left w:val="none" w:sz="0" w:space="0" w:color="auto"/>
        <w:bottom w:val="none" w:sz="0" w:space="0" w:color="auto"/>
        <w:right w:val="none" w:sz="0" w:space="0" w:color="auto"/>
      </w:divBdr>
    </w:div>
    <w:div w:id="2123068933">
      <w:bodyDiv w:val="1"/>
      <w:marLeft w:val="0"/>
      <w:marRight w:val="0"/>
      <w:marTop w:val="0"/>
      <w:marBottom w:val="0"/>
      <w:divBdr>
        <w:top w:val="none" w:sz="0" w:space="0" w:color="auto"/>
        <w:left w:val="none" w:sz="0" w:space="0" w:color="auto"/>
        <w:bottom w:val="none" w:sz="0" w:space="0" w:color="auto"/>
        <w:right w:val="none" w:sz="0" w:space="0" w:color="auto"/>
      </w:divBdr>
    </w:div>
    <w:div w:id="2129005866">
      <w:bodyDiv w:val="1"/>
      <w:marLeft w:val="0"/>
      <w:marRight w:val="0"/>
      <w:marTop w:val="0"/>
      <w:marBottom w:val="0"/>
      <w:divBdr>
        <w:top w:val="none" w:sz="0" w:space="0" w:color="auto"/>
        <w:left w:val="none" w:sz="0" w:space="0" w:color="auto"/>
        <w:bottom w:val="none" w:sz="0" w:space="0" w:color="auto"/>
        <w:right w:val="none" w:sz="0" w:space="0" w:color="auto"/>
      </w:divBdr>
    </w:div>
    <w:div w:id="2131048766">
      <w:bodyDiv w:val="1"/>
      <w:marLeft w:val="0"/>
      <w:marRight w:val="0"/>
      <w:marTop w:val="0"/>
      <w:marBottom w:val="0"/>
      <w:divBdr>
        <w:top w:val="none" w:sz="0" w:space="0" w:color="auto"/>
        <w:left w:val="none" w:sz="0" w:space="0" w:color="auto"/>
        <w:bottom w:val="none" w:sz="0" w:space="0" w:color="auto"/>
        <w:right w:val="none" w:sz="0" w:space="0" w:color="auto"/>
      </w:divBdr>
    </w:div>
    <w:div w:id="2134056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ntariocourts.ca/decisions/2019/2019ONCA0652.htm" TargetMode="External"/><Relationship Id="rId21" Type="http://schemas.openxmlformats.org/officeDocument/2006/relationships/hyperlink" Target="https://www.ontariocourts.ca/decisions/2021/2021ONCA0633.htm" TargetMode="External"/><Relationship Id="rId42" Type="http://schemas.openxmlformats.org/officeDocument/2006/relationships/hyperlink" Target="https://laws-lois.justice.gc.ca/eng/acts/C-46/page-31.html" TargetMode="External"/><Relationship Id="rId63" Type="http://schemas.openxmlformats.org/officeDocument/2006/relationships/hyperlink" Target="https://qweri.lexum.com/calegis/rsc-1985-c-c-46-en" TargetMode="External"/><Relationship Id="rId84" Type="http://schemas.openxmlformats.org/officeDocument/2006/relationships/hyperlink" Target="https://www.ontariocourts.ca/decisions/2019/2019ONCA0619.htm" TargetMode="External"/><Relationship Id="rId138" Type="http://schemas.openxmlformats.org/officeDocument/2006/relationships/hyperlink" Target="https://scc-csc.lexum.com/scc-csc/scc-csc/en/item/18884/index.do" TargetMode="External"/><Relationship Id="rId159" Type="http://schemas.openxmlformats.org/officeDocument/2006/relationships/hyperlink" Target="https://coadecisions.ontariocourts.ca/coa/coa/en/item/20831/index.do" TargetMode="External"/><Relationship Id="rId170" Type="http://schemas.openxmlformats.org/officeDocument/2006/relationships/hyperlink" Target="https://www.ontariocourts.ca/decisions/2022/2022ONCA0103.htm" TargetMode="External"/><Relationship Id="rId191" Type="http://schemas.openxmlformats.org/officeDocument/2006/relationships/hyperlink" Target="http://www.ontariocourts.ca/decisions/2018/2018ONCA0814.htm" TargetMode="External"/><Relationship Id="rId205" Type="http://schemas.openxmlformats.org/officeDocument/2006/relationships/hyperlink" Target="https://www.ontariocourts.ca/decisions/2022/2022ONCA0279.htm" TargetMode="External"/><Relationship Id="rId226" Type="http://schemas.openxmlformats.org/officeDocument/2006/relationships/hyperlink" Target="http://www.ontariocourts.ca/decisions/2018/2018ONCA0599.htm" TargetMode="External"/><Relationship Id="rId247" Type="http://schemas.openxmlformats.org/officeDocument/2006/relationships/hyperlink" Target="http://www.ontariocourts.ca/decisions/2018/2018ONCA1082.htm" TargetMode="External"/><Relationship Id="rId107" Type="http://schemas.openxmlformats.org/officeDocument/2006/relationships/hyperlink" Target="http://www.ontariocourts.ca/decisions/2017/2017ONCA0702.htm" TargetMode="External"/><Relationship Id="rId11" Type="http://schemas.openxmlformats.org/officeDocument/2006/relationships/hyperlink" Target="http://www.ontariocourts.ca/decisions/2018/2018ONCA1059.htm" TargetMode="External"/><Relationship Id="rId32" Type="http://schemas.openxmlformats.org/officeDocument/2006/relationships/hyperlink" Target="https://www.ontariocourts.ca/decisions/2020/2020ONCA0664.htm" TargetMode="External"/><Relationship Id="rId53" Type="http://schemas.openxmlformats.org/officeDocument/2006/relationships/hyperlink" Target="https://www.ontariocourts.ca/decisions/2020/2020ONCA0060.htm" TargetMode="External"/><Relationship Id="rId74" Type="http://schemas.openxmlformats.org/officeDocument/2006/relationships/hyperlink" Target="https://www.ontariocourts.ca/decisions/2021/2021ONCA0484.htm" TargetMode="External"/><Relationship Id="rId128" Type="http://schemas.openxmlformats.org/officeDocument/2006/relationships/hyperlink" Target="https://www.ontariocourts.ca/decisions/2021/2021ONCA0101.htm" TargetMode="External"/><Relationship Id="rId149" Type="http://schemas.openxmlformats.org/officeDocument/2006/relationships/hyperlink" Target="https://scc-csc.lexum.com/scc-csc/scc-csc/en/item/18884/index.do" TargetMode="External"/><Relationship Id="rId5" Type="http://schemas.openxmlformats.org/officeDocument/2006/relationships/webSettings" Target="webSettings.xml"/><Relationship Id="rId95" Type="http://schemas.openxmlformats.org/officeDocument/2006/relationships/hyperlink" Target="https://www.ontariocourts.ca/decisions/2019/2019ONCA0307.htm" TargetMode="External"/><Relationship Id="rId160" Type="http://schemas.openxmlformats.org/officeDocument/2006/relationships/hyperlink" Target="https://coadecisions.ontariocourts.ca/coa/coa/en/item/20907/index.do" TargetMode="External"/><Relationship Id="rId181" Type="http://schemas.openxmlformats.org/officeDocument/2006/relationships/hyperlink" Target="https://coadecisions.ontariocourts.ca/coa/coa/en/item/21072/index.do" TargetMode="External"/><Relationship Id="rId216" Type="http://schemas.openxmlformats.org/officeDocument/2006/relationships/hyperlink" Target="http://www.ontariocourts.ca/decisions/2019/2019ONCA0094.htm" TargetMode="External"/><Relationship Id="rId237" Type="http://schemas.openxmlformats.org/officeDocument/2006/relationships/hyperlink" Target="https://www.ontariocourts.ca/decisions/2020/2020ONCA0128.htm" TargetMode="External"/><Relationship Id="rId22" Type="http://schemas.openxmlformats.org/officeDocument/2006/relationships/hyperlink" Target="https://www.ontariocourts.ca/decisions/2020/2020ONCA0733.htm" TargetMode="External"/><Relationship Id="rId43" Type="http://schemas.openxmlformats.org/officeDocument/2006/relationships/hyperlink" Target="https://laws-lois.justice.gc.ca/eng/acts/C-46/page-31.html" TargetMode="External"/><Relationship Id="rId64" Type="http://schemas.openxmlformats.org/officeDocument/2006/relationships/hyperlink" Target="https://scc-csc.lexum.com/scc-csc/scc-csc/en/item/18015/index.do" TargetMode="External"/><Relationship Id="rId118" Type="http://schemas.openxmlformats.org/officeDocument/2006/relationships/hyperlink" Target="https://www.ontariocourts.ca/decisions/2021/2021ONCA0015.htm" TargetMode="External"/><Relationship Id="rId139" Type="http://schemas.openxmlformats.org/officeDocument/2006/relationships/hyperlink" Target="https://scc-csc.lexum.com/scc-csc/scc-csc/en/item/19458/index.do" TargetMode="External"/><Relationship Id="rId85" Type="http://schemas.openxmlformats.org/officeDocument/2006/relationships/hyperlink" Target="https://coadecisions.ontariocourts.ca/coa/coa/en/item/20795/index.do" TargetMode="External"/><Relationship Id="rId150" Type="http://schemas.openxmlformats.org/officeDocument/2006/relationships/hyperlink" Target="http://www.ontariocourts.ca/decisions/2019/2019ONCA0493.htm" TargetMode="External"/><Relationship Id="rId171" Type="http://schemas.openxmlformats.org/officeDocument/2006/relationships/hyperlink" Target="https://www.ontariocourts.ca/decisions/2019/2019ONCA0663.htm" TargetMode="External"/><Relationship Id="rId192" Type="http://schemas.openxmlformats.org/officeDocument/2006/relationships/hyperlink" Target="https://www.ontariocourts.ca/decisions/2021/2021ONCA0258.htm" TargetMode="External"/><Relationship Id="rId206" Type="http://schemas.openxmlformats.org/officeDocument/2006/relationships/hyperlink" Target="https://www.ontariocourts.ca/decisions/2020/2020ONCA0030.htm" TargetMode="External"/><Relationship Id="rId227" Type="http://schemas.openxmlformats.org/officeDocument/2006/relationships/hyperlink" Target="https://legalaid.us15.list-manage.com/track/click?u=1049c6684e6addce5c2c83de0&amp;id=d1d086854e&amp;e=e76cdf9c29" TargetMode="External"/><Relationship Id="rId248" Type="http://schemas.openxmlformats.org/officeDocument/2006/relationships/hyperlink" Target="https://www.salih-criminallaw.com/possession" TargetMode="External"/><Relationship Id="rId12" Type="http://schemas.openxmlformats.org/officeDocument/2006/relationships/hyperlink" Target="https://www.ontariocourts.ca/decisions/2020/2020ONCA0179.htm" TargetMode="External"/><Relationship Id="rId33" Type="http://schemas.openxmlformats.org/officeDocument/2006/relationships/hyperlink" Target="https://www.ontariocourts.ca/decisions/2020/2020ONCA0343.htm" TargetMode="External"/><Relationship Id="rId108" Type="http://schemas.openxmlformats.org/officeDocument/2006/relationships/hyperlink" Target="http://www.ontariocourts.ca/decisions/2018/2018ONCA0807.htm" TargetMode="External"/><Relationship Id="rId129" Type="http://schemas.openxmlformats.org/officeDocument/2006/relationships/hyperlink" Target="http://www.ontariocourts.ca/decisions/2018/2018ONCA1016.htm" TargetMode="External"/><Relationship Id="rId54" Type="http://schemas.openxmlformats.org/officeDocument/2006/relationships/hyperlink" Target="http://www.ontariocourts.ca/decisions/2018/2018ONCA0748.htm" TargetMode="External"/><Relationship Id="rId75" Type="http://schemas.openxmlformats.org/officeDocument/2006/relationships/hyperlink" Target="http://www.ontariocourts.ca/decisions/2019/2019ONCA0170.htm" TargetMode="External"/><Relationship Id="rId96" Type="http://schemas.openxmlformats.org/officeDocument/2006/relationships/hyperlink" Target="https://coadecisions.ontariocourts.ca/coa/coa/en/item/20795/index.do" TargetMode="External"/><Relationship Id="rId140" Type="http://schemas.openxmlformats.org/officeDocument/2006/relationships/hyperlink" Target="https://scc-csc.lexum.com/scc-csc/scc-csc/en/item/19458/index.do" TargetMode="External"/><Relationship Id="rId161" Type="http://schemas.openxmlformats.org/officeDocument/2006/relationships/hyperlink" Target="http://www.ontariocourts.ca/decisions/2019/2019ONCA0493.htm" TargetMode="External"/><Relationship Id="rId182" Type="http://schemas.openxmlformats.org/officeDocument/2006/relationships/hyperlink" Target="https://www.ontariocourts.ca/decisions/2019/2019ONCA0663.htm" TargetMode="External"/><Relationship Id="rId217" Type="http://schemas.openxmlformats.org/officeDocument/2006/relationships/hyperlink" Target="https://www.ontariocourts.ca/decisions/2019/2019ONCA0652.htm" TargetMode="External"/><Relationship Id="rId6" Type="http://schemas.openxmlformats.org/officeDocument/2006/relationships/footnotes" Target="footnotes.xml"/><Relationship Id="rId238" Type="http://schemas.openxmlformats.org/officeDocument/2006/relationships/hyperlink" Target="https://www.ontariocourts.ca/decisions/2022/2022ONCA0383.htm" TargetMode="External"/><Relationship Id="rId23" Type="http://schemas.openxmlformats.org/officeDocument/2006/relationships/hyperlink" Target="http://www.ontariocourts.ca/decisions/2019/2019ONCA0356.htm" TargetMode="External"/><Relationship Id="rId119" Type="http://schemas.openxmlformats.org/officeDocument/2006/relationships/hyperlink" Target="http://www.ontariocourts.ca/decisions/2019/2019ONCA0638.htm" TargetMode="External"/><Relationship Id="rId44" Type="http://schemas.openxmlformats.org/officeDocument/2006/relationships/hyperlink" Target="ontariocourts.ca/decisions/2022/2022ONCA0103.htm" TargetMode="External"/><Relationship Id="rId65" Type="http://schemas.openxmlformats.org/officeDocument/2006/relationships/hyperlink" Target="https://www.ontariocourts.ca/decisions/2022/2022ONCA0409.htm" TargetMode="External"/><Relationship Id="rId86" Type="http://schemas.openxmlformats.org/officeDocument/2006/relationships/hyperlink" Target="http://www.ontariocourts.ca/decisions/2019/2019ONCA0638.htm" TargetMode="External"/><Relationship Id="rId130" Type="http://schemas.openxmlformats.org/officeDocument/2006/relationships/hyperlink" Target="http://www.ontariocourts.ca/decisions/2018/2018ONCA1002.htm" TargetMode="External"/><Relationship Id="rId151" Type="http://schemas.openxmlformats.org/officeDocument/2006/relationships/hyperlink" Target="https://qweri.lexum.com/calegis/rsc-1985-c-c-46-en" TargetMode="External"/><Relationship Id="rId172" Type="http://schemas.openxmlformats.org/officeDocument/2006/relationships/hyperlink" Target="https://www.ontariocourts.ca/decisions/2019/2019ONCA0663.htm" TargetMode="External"/><Relationship Id="rId193" Type="http://schemas.openxmlformats.org/officeDocument/2006/relationships/hyperlink" Target="http://www.ontariocourts.ca/decisions/2019/2019ONCA0080.htm" TargetMode="External"/><Relationship Id="rId207" Type="http://schemas.openxmlformats.org/officeDocument/2006/relationships/hyperlink" Target="https://www.ontariocourts.ca/decisions/2021/2021ONCA0258.htm" TargetMode="External"/><Relationship Id="rId228" Type="http://schemas.openxmlformats.org/officeDocument/2006/relationships/hyperlink" Target="https://www.salih-criminallaw.com/possession" TargetMode="External"/><Relationship Id="rId249" Type="http://schemas.openxmlformats.org/officeDocument/2006/relationships/hyperlink" Target="http://www.ontariocourts.ca/decisions/2018/2018ONCA0795.htm" TargetMode="External"/><Relationship Id="rId13" Type="http://schemas.openxmlformats.org/officeDocument/2006/relationships/hyperlink" Target="https://www.ontariocourts.ca/decisions/2021/2021ONCA0498.htm" TargetMode="External"/><Relationship Id="rId109" Type="http://schemas.openxmlformats.org/officeDocument/2006/relationships/hyperlink" Target="https://www.ontariocourts.ca/decisions/2019/2019ONCA0819.htm" TargetMode="External"/><Relationship Id="rId34" Type="http://schemas.openxmlformats.org/officeDocument/2006/relationships/hyperlink" Target="https://coadecisions.ontariocourts.ca/coa/coa/en/item/21063/index.do" TargetMode="External"/><Relationship Id="rId55" Type="http://schemas.openxmlformats.org/officeDocument/2006/relationships/hyperlink" Target="http://www.ontariocourts.ca/decisions/2018/2018ONCA0748.htm" TargetMode="External"/><Relationship Id="rId76" Type="http://schemas.openxmlformats.org/officeDocument/2006/relationships/hyperlink" Target="https://www.ontariocourts.ca/decisions/2020/2020ONCA0241.htm" TargetMode="External"/><Relationship Id="rId97" Type="http://schemas.openxmlformats.org/officeDocument/2006/relationships/hyperlink" Target="https://www.ontariocourts.ca/decisions/2020/2020ONCA0334.htm" TargetMode="External"/><Relationship Id="rId120" Type="http://schemas.openxmlformats.org/officeDocument/2006/relationships/hyperlink" Target="http://www.ontariocourts.ca/decisions/2018/2018ONCA0323.htm" TargetMode="External"/><Relationship Id="rId141" Type="http://schemas.openxmlformats.org/officeDocument/2006/relationships/hyperlink" Target="https://scc-csc.lexum.com/scc-csc/scc-csc/en/item/19458/index.do" TargetMode="External"/><Relationship Id="rId7" Type="http://schemas.openxmlformats.org/officeDocument/2006/relationships/endnotes" Target="endnotes.xml"/><Relationship Id="rId162" Type="http://schemas.openxmlformats.org/officeDocument/2006/relationships/hyperlink" Target="http://www.ontariocourts.ca/decisions/2018/2018ONCA0538.htm" TargetMode="External"/><Relationship Id="rId183" Type="http://schemas.openxmlformats.org/officeDocument/2006/relationships/hyperlink" Target="https://www.ontariocourts.ca/decisions/2020/2020ONCA0733.htm" TargetMode="External"/><Relationship Id="rId218" Type="http://schemas.openxmlformats.org/officeDocument/2006/relationships/hyperlink" Target="http://www.ontariocourts.ca/decisions/2016/2016ONCA0358.htm" TargetMode="External"/><Relationship Id="rId239" Type="http://schemas.openxmlformats.org/officeDocument/2006/relationships/hyperlink" Target="https://www.ontariocourts.ca/decisions/2020/2020ONCA0128.htm" TargetMode="External"/><Relationship Id="rId250" Type="http://schemas.openxmlformats.org/officeDocument/2006/relationships/hyperlink" Target="http://www.ontariocourts.ca/decisions/2019/2019ONCA0645.htm" TargetMode="External"/><Relationship Id="rId24" Type="http://schemas.openxmlformats.org/officeDocument/2006/relationships/hyperlink" Target="https://www.ontariocourts.ca/decisions/2021/2021ONCA0043.htm" TargetMode="External"/><Relationship Id="rId45" Type="http://schemas.openxmlformats.org/officeDocument/2006/relationships/hyperlink" Target="https://decisions.scc-csc.ca/scc-csc/scc-csc/en/item/19414/index.do" TargetMode="External"/><Relationship Id="rId66" Type="http://schemas.openxmlformats.org/officeDocument/2006/relationships/hyperlink" Target="https://coadecisions.ontariocourts.ca/coa/coa/en/item/21128/index.do" TargetMode="External"/><Relationship Id="rId87" Type="http://schemas.openxmlformats.org/officeDocument/2006/relationships/hyperlink" Target="https://www.ontariocourts.ca/decisions/2021/2021ONCA0081.htm" TargetMode="External"/><Relationship Id="rId110" Type="http://schemas.openxmlformats.org/officeDocument/2006/relationships/hyperlink" Target="https://coadecisions.ontariocourts.ca/coa/coa/en/item/20727/index.do" TargetMode="External"/><Relationship Id="rId131" Type="http://schemas.openxmlformats.org/officeDocument/2006/relationships/hyperlink" Target="http://www.ontariocourts.ca/decisions/2019/2019ONCA0622.htm" TargetMode="External"/><Relationship Id="rId152" Type="http://schemas.openxmlformats.org/officeDocument/2006/relationships/hyperlink" Target="https://qweri.lexum.com/calegis/rsc-1985-c-c-46-en" TargetMode="External"/><Relationship Id="rId173" Type="http://schemas.openxmlformats.org/officeDocument/2006/relationships/hyperlink" Target="https://www.ontariocourts.ca/decisions/2019/2019ONCA0663.htm" TargetMode="External"/><Relationship Id="rId194" Type="http://schemas.openxmlformats.org/officeDocument/2006/relationships/hyperlink" Target="https://www.ontariocourts.ca/decisions/2021/2021ONCA0258.htm" TargetMode="External"/><Relationship Id="rId208" Type="http://schemas.openxmlformats.org/officeDocument/2006/relationships/hyperlink" Target="https://www.ontariocourts.ca/decisions/2021/2021ONCA0642.htm" TargetMode="External"/><Relationship Id="rId229" Type="http://schemas.openxmlformats.org/officeDocument/2006/relationships/hyperlink" Target="https://www.ontariocourts.ca/decisions/2020/2020ONCA0128.htm" TargetMode="External"/><Relationship Id="rId240" Type="http://schemas.openxmlformats.org/officeDocument/2006/relationships/hyperlink" Target="https://www.ontariocourts.ca/decisions/2020/2020ONCA0128.htm" TargetMode="External"/><Relationship Id="rId14" Type="http://schemas.openxmlformats.org/officeDocument/2006/relationships/hyperlink" Target="https://www.ontariocourts.ca/decisions/2020/2020ONCA0179.htm" TargetMode="External"/><Relationship Id="rId35" Type="http://schemas.openxmlformats.org/officeDocument/2006/relationships/hyperlink" Target="https://www.ontariocourts.ca/decisions/2021/2021ONCA0350.htm" TargetMode="External"/><Relationship Id="rId56" Type="http://schemas.openxmlformats.org/officeDocument/2006/relationships/hyperlink" Target="https://scc-csc.lexum.com/scc-csc/scc-csc/en/item/18015/index.do" TargetMode="External"/><Relationship Id="rId77" Type="http://schemas.openxmlformats.org/officeDocument/2006/relationships/hyperlink" Target="https://www.ontariocourts.ca/decisions/2019/2019ONCA0633.htm" TargetMode="External"/><Relationship Id="rId100" Type="http://schemas.openxmlformats.org/officeDocument/2006/relationships/hyperlink" Target="http://www.ontariocourts.ca/decisions/2018/2018ONCA0510.htm" TargetMode="External"/><Relationship Id="rId8" Type="http://schemas.openxmlformats.org/officeDocument/2006/relationships/hyperlink" Target="http://www.ontariocourts.ca/decisions/2019/2019ONCA0630.htm" TargetMode="External"/><Relationship Id="rId98" Type="http://schemas.openxmlformats.org/officeDocument/2006/relationships/hyperlink" Target="https://coadecisions.ontariocourts.ca/coa/coa/en/item/20795/index.do" TargetMode="External"/><Relationship Id="rId121" Type="http://schemas.openxmlformats.org/officeDocument/2006/relationships/hyperlink" Target="http://www.ontariocourts.ca/decisions/2019/2019ONCA0638.htm" TargetMode="External"/><Relationship Id="rId142" Type="http://schemas.openxmlformats.org/officeDocument/2006/relationships/hyperlink" Target="http://www.ontariocourts.ca/decisions/2019/2019ONCA0493.htm" TargetMode="External"/><Relationship Id="rId163" Type="http://schemas.openxmlformats.org/officeDocument/2006/relationships/hyperlink" Target="https://scc-csc.lexum.com/scc-csc/scc-csc/en/item/17800/index.do" TargetMode="External"/><Relationship Id="rId184" Type="http://schemas.openxmlformats.org/officeDocument/2006/relationships/hyperlink" Target="https://coadecisions.ontariocourts.ca/coa/coa/en/item/19349/index.do" TargetMode="External"/><Relationship Id="rId219" Type="http://schemas.openxmlformats.org/officeDocument/2006/relationships/hyperlink" Target="https://www.ontariocourts.ca/decisions/2021/2021ONCA0113.htm" TargetMode="External"/><Relationship Id="rId230" Type="http://schemas.openxmlformats.org/officeDocument/2006/relationships/hyperlink" Target="https://www.ontariocourts.ca/decisions/2020/2020ONCA0128.htm" TargetMode="External"/><Relationship Id="rId251" Type="http://schemas.openxmlformats.org/officeDocument/2006/relationships/hyperlink" Target="http://www.ontariocourts.ca/decisions/2019/2019ONCA0065.htm" TargetMode="External"/><Relationship Id="rId25" Type="http://schemas.openxmlformats.org/officeDocument/2006/relationships/hyperlink" Target="https://www.ontariocourts.ca/decisions/2020/2020ONCA0343.htm" TargetMode="External"/><Relationship Id="rId46" Type="http://schemas.openxmlformats.org/officeDocument/2006/relationships/hyperlink" Target="https://laws-lois.justice.gc.ca/eng/acts/C-46/page-31.html" TargetMode="External"/><Relationship Id="rId67" Type="http://schemas.openxmlformats.org/officeDocument/2006/relationships/hyperlink" Target="http://laws-lois.justice.gc.ca/eng/acts/C-46/page-52.html" TargetMode="External"/><Relationship Id="rId88" Type="http://schemas.openxmlformats.org/officeDocument/2006/relationships/hyperlink" Target="http://www.ontariocourts.ca/decisions/2019/2019ONCA0638.htm" TargetMode="External"/><Relationship Id="rId111" Type="http://schemas.openxmlformats.org/officeDocument/2006/relationships/hyperlink" Target="https://coadecisions.ontariocourts.ca/coa/coa/en/item/20727/index.do" TargetMode="External"/><Relationship Id="rId132" Type="http://schemas.openxmlformats.org/officeDocument/2006/relationships/hyperlink" Target="http://www.ontariocourts.ca/decisions/2019/2019ONCA0694.htm" TargetMode="External"/><Relationship Id="rId153" Type="http://schemas.openxmlformats.org/officeDocument/2006/relationships/hyperlink" Target="https://qweri.lexum.com/calegis/rsc-1985-c-c-46-en" TargetMode="External"/><Relationship Id="rId174" Type="http://schemas.openxmlformats.org/officeDocument/2006/relationships/hyperlink" Target="https://www.ontariocourts.ca/decisions/2019/2019ONCA0663.htm" TargetMode="External"/><Relationship Id="rId195" Type="http://schemas.openxmlformats.org/officeDocument/2006/relationships/hyperlink" Target="ontariocourts.ca/decisions/2021/2021ONCA0211.htm" TargetMode="External"/><Relationship Id="rId209" Type="http://schemas.openxmlformats.org/officeDocument/2006/relationships/hyperlink" Target="http://www.ontariocourts.ca/decisions/2018/2018ONCA0741.htm" TargetMode="External"/><Relationship Id="rId220" Type="http://schemas.openxmlformats.org/officeDocument/2006/relationships/hyperlink" Target="http://www.ontariocourts.ca/decisions/2019/2019ONCA0604.htm" TargetMode="External"/><Relationship Id="rId241" Type="http://schemas.openxmlformats.org/officeDocument/2006/relationships/hyperlink" Target="https://coadecisions.ontariocourts.ca/coa/coa/en/item/21118/index.do" TargetMode="External"/><Relationship Id="rId15" Type="http://schemas.openxmlformats.org/officeDocument/2006/relationships/hyperlink" Target="https://www.ontariocourts.ca/decisions/2021/2021ONCA0498.htm" TargetMode="External"/><Relationship Id="rId36" Type="http://schemas.openxmlformats.org/officeDocument/2006/relationships/hyperlink" Target="https://www.ontariocourts.ca/decisions/2021/2021ONCA0633.htm" TargetMode="External"/><Relationship Id="rId57" Type="http://schemas.openxmlformats.org/officeDocument/2006/relationships/hyperlink" Target="https://www.ontariocourts.ca/decisions/2022/2022ONCA0409.htm" TargetMode="External"/><Relationship Id="rId78" Type="http://schemas.openxmlformats.org/officeDocument/2006/relationships/hyperlink" Target="https://www.ontariocourts.ca/decisions/2019/2019ONCA0633.htm" TargetMode="External"/><Relationship Id="rId99" Type="http://schemas.openxmlformats.org/officeDocument/2006/relationships/hyperlink" Target="https://www.ontariocourts.ca/decisions/2019/2019ONCA0307.htm" TargetMode="External"/><Relationship Id="rId101" Type="http://schemas.openxmlformats.org/officeDocument/2006/relationships/hyperlink" Target="https://coadecisions.ontariocourts.ca/coa/coa/en/item/20795/index.do" TargetMode="External"/><Relationship Id="rId122" Type="http://schemas.openxmlformats.org/officeDocument/2006/relationships/hyperlink" Target="https://coadecisions.ontariocourts.ca/coa/coa/en/item/20826/index.do" TargetMode="External"/><Relationship Id="rId143" Type="http://schemas.openxmlformats.org/officeDocument/2006/relationships/hyperlink" Target="http://www.ontariocourts.ca/decisions/2019/2019ONCA0493.htm" TargetMode="External"/><Relationship Id="rId164" Type="http://schemas.openxmlformats.org/officeDocument/2006/relationships/hyperlink" Target="http://www.ontariocourts.ca/decisions/2019/2019ONCA0535.htm" TargetMode="External"/><Relationship Id="rId185" Type="http://schemas.openxmlformats.org/officeDocument/2006/relationships/hyperlink" Target="https://www.ontariocourts.ca/decisions/2020/2020ONCA0733.htm" TargetMode="External"/><Relationship Id="rId9" Type="http://schemas.openxmlformats.org/officeDocument/2006/relationships/hyperlink" Target="http://www.ontariocourts.ca/decisions/2018/2018ONCA1082.htm" TargetMode="External"/><Relationship Id="rId210" Type="http://schemas.openxmlformats.org/officeDocument/2006/relationships/hyperlink" Target="https://laws-lois.justice.gc.ca/eng/acts/C-46/page-51.html" TargetMode="External"/><Relationship Id="rId26" Type="http://schemas.openxmlformats.org/officeDocument/2006/relationships/hyperlink" Target="https://www.ontariocourts.ca/decisions/2020/2020ONCA0343.htm" TargetMode="External"/><Relationship Id="rId231" Type="http://schemas.openxmlformats.org/officeDocument/2006/relationships/hyperlink" Target="https://www.ontariocourts.ca/decisions/2020/2020ONCA0361.htm" TargetMode="External"/><Relationship Id="rId252" Type="http://schemas.openxmlformats.org/officeDocument/2006/relationships/hyperlink" Target="http://www.ontariocourts.ca/decisions/2018/2018ONCA1034.htm" TargetMode="External"/><Relationship Id="rId47" Type="http://schemas.openxmlformats.org/officeDocument/2006/relationships/hyperlink" Target="https://laws-lois.justice.gc.ca/eng/acts/C-46/page-31.html" TargetMode="External"/><Relationship Id="rId68" Type="http://schemas.openxmlformats.org/officeDocument/2006/relationships/hyperlink" Target="http://www.ontariocourts.ca/decisions/2018/2018ONCA0384.htm" TargetMode="External"/><Relationship Id="rId89" Type="http://schemas.openxmlformats.org/officeDocument/2006/relationships/hyperlink" Target="https://coadecisions.ontariocourts.ca/coa/coa/en/item/20795/index.do" TargetMode="External"/><Relationship Id="rId112" Type="http://schemas.openxmlformats.org/officeDocument/2006/relationships/hyperlink" Target="http://www.ontariocourts.ca/decisions/2018/2018ONCA0510.htm" TargetMode="External"/><Relationship Id="rId133" Type="http://schemas.openxmlformats.org/officeDocument/2006/relationships/hyperlink" Target="http://www.ontariocourts.ca/decisions/2019/2019ONCA0662.htm" TargetMode="External"/><Relationship Id="rId154" Type="http://schemas.openxmlformats.org/officeDocument/2006/relationships/hyperlink" Target="https://scc-csc.lexum.com/scc-csc/scc-csc/en/item/18884/index.do" TargetMode="External"/><Relationship Id="rId175" Type="http://schemas.openxmlformats.org/officeDocument/2006/relationships/hyperlink" Target="https://www.ontariocourts.ca/decisions/2020/2020ONCA0061.htm" TargetMode="External"/><Relationship Id="rId196" Type="http://schemas.openxmlformats.org/officeDocument/2006/relationships/hyperlink" Target="https://www.ontariocourts.ca/decisions/2021/2021ONCA0258.htm" TargetMode="External"/><Relationship Id="rId200" Type="http://schemas.openxmlformats.org/officeDocument/2006/relationships/hyperlink" Target="https://www.ontariocourts.ca/decisions/2021/2021ONCA0211.htm" TargetMode="External"/><Relationship Id="rId16" Type="http://schemas.openxmlformats.org/officeDocument/2006/relationships/hyperlink" Target="https://www.ontariocourts.ca/decisions/2020/2020ONCA0394.htm" TargetMode="External"/><Relationship Id="rId221" Type="http://schemas.openxmlformats.org/officeDocument/2006/relationships/hyperlink" Target="http://www.ontariocourts.ca/decisions/2016/2016ONCA0182.htm" TargetMode="External"/><Relationship Id="rId242" Type="http://schemas.openxmlformats.org/officeDocument/2006/relationships/hyperlink" Target="file:///Users/mariannesalih/.Trash/Drug%20Offences/Possession%20for%20the%20purpose%20of%20trafficking.pdf" TargetMode="External"/><Relationship Id="rId37" Type="http://schemas.openxmlformats.org/officeDocument/2006/relationships/hyperlink" Target="https://www.ontariocourts.ca/decisions/2021/2021ONCA0633.htm" TargetMode="External"/><Relationship Id="rId58" Type="http://schemas.openxmlformats.org/officeDocument/2006/relationships/hyperlink" Target="https://scc-csc.lexum.com/scc-csc/scc-csc/en/item/18015/index.do" TargetMode="External"/><Relationship Id="rId79" Type="http://schemas.openxmlformats.org/officeDocument/2006/relationships/hyperlink" Target="http://www.ontariocourts.ca/decisions/2017/2017ONCA0460.htm" TargetMode="External"/><Relationship Id="rId102" Type="http://schemas.openxmlformats.org/officeDocument/2006/relationships/hyperlink" Target="https://scc-csc.lexum.com/scc-csc/scc-csc/en/item/17058/index.do" TargetMode="External"/><Relationship Id="rId123" Type="http://schemas.openxmlformats.org/officeDocument/2006/relationships/hyperlink" Target="https://www.ontariocourts.ca/decisions/2020/2020ONCA0220.htm" TargetMode="External"/><Relationship Id="rId144" Type="http://schemas.openxmlformats.org/officeDocument/2006/relationships/hyperlink" Target="https://www.ontariocourts.ca/decisions/2022/2022ONCA0015.htm" TargetMode="External"/><Relationship Id="rId90" Type="http://schemas.openxmlformats.org/officeDocument/2006/relationships/hyperlink" Target="https://coadecisions.ontariocourts.ca/coa/coa/en/item/20795/index.do" TargetMode="External"/><Relationship Id="rId165" Type="http://schemas.openxmlformats.org/officeDocument/2006/relationships/hyperlink" Target="https://scc-csc.lexum.com/scc-csc/scc-csc/en/item/17800/index.do" TargetMode="External"/><Relationship Id="rId186" Type="http://schemas.openxmlformats.org/officeDocument/2006/relationships/hyperlink" Target="https://www.ontariocourts.ca/decisions/2019/2019ONCA0663.htm" TargetMode="External"/><Relationship Id="rId211" Type="http://schemas.openxmlformats.org/officeDocument/2006/relationships/hyperlink" Target="https://coadecisions.ontariocourts.ca/coa/coa/en/item/21068/index.do" TargetMode="External"/><Relationship Id="rId232" Type="http://schemas.openxmlformats.org/officeDocument/2006/relationships/hyperlink" Target="https://www.canlii.org/en/nl/nlca/doc/2019/2019nlca20/2019nlca20.html" TargetMode="External"/><Relationship Id="rId253" Type="http://schemas.openxmlformats.org/officeDocument/2006/relationships/footer" Target="footer1.xml"/><Relationship Id="rId27" Type="http://schemas.openxmlformats.org/officeDocument/2006/relationships/hyperlink" Target="https://www.ontariocourts.ca/decisions/2020/2020ONCA0343.htm" TargetMode="External"/><Relationship Id="rId48" Type="http://schemas.openxmlformats.org/officeDocument/2006/relationships/hyperlink" Target="https://coadecisions.ontariocourts.ca/coa/coa/en/item/20775/index.do" TargetMode="External"/><Relationship Id="rId69" Type="http://schemas.openxmlformats.org/officeDocument/2006/relationships/hyperlink" Target="http://www.ontariocourts.ca/decisions/2016/2016ONCA0087.htm" TargetMode="External"/><Relationship Id="rId113" Type="http://schemas.openxmlformats.org/officeDocument/2006/relationships/hyperlink" Target="http://www.ontariocourts.ca/decisions/2017/2017ONCA0702.htm" TargetMode="External"/><Relationship Id="rId134" Type="http://schemas.openxmlformats.org/officeDocument/2006/relationships/hyperlink" Target="https://scc-csc.lexum.com/scc-csc/scc-csc/en/item/18884/index.do" TargetMode="External"/><Relationship Id="rId80" Type="http://schemas.openxmlformats.org/officeDocument/2006/relationships/hyperlink" Target="http://www.ontariocourts.ca/decisions/2017/2017ONCA0619.htm" TargetMode="External"/><Relationship Id="rId155" Type="http://schemas.openxmlformats.org/officeDocument/2006/relationships/hyperlink" Target="http://www.ontariocourts.ca/decisions/2019/2019ONCA0347.htm" TargetMode="External"/><Relationship Id="rId176" Type="http://schemas.openxmlformats.org/officeDocument/2006/relationships/hyperlink" Target="https://coadecisions.ontariocourts.ca/coa/coa/en/item/20945/index.do" TargetMode="External"/><Relationship Id="rId197" Type="http://schemas.openxmlformats.org/officeDocument/2006/relationships/hyperlink" Target="http://www.ontariocourts.ca/decisions/2018/2018ONCA0614.htm" TargetMode="External"/><Relationship Id="rId201" Type="http://schemas.openxmlformats.org/officeDocument/2006/relationships/hyperlink" Target="https://www.ontariocourts.ca/decisions/2022/2022ONCA0279.htm" TargetMode="External"/><Relationship Id="rId222" Type="http://schemas.openxmlformats.org/officeDocument/2006/relationships/hyperlink" Target="http://www.ontariocourts.ca/decisions/2016/2016ONCA0182.htm" TargetMode="External"/><Relationship Id="rId243" Type="http://schemas.openxmlformats.org/officeDocument/2006/relationships/hyperlink" Target="https://www.canlii.org/en/ca/scc/doc/2019/2019scc48/2019scc48.html" TargetMode="External"/><Relationship Id="rId17" Type="http://schemas.openxmlformats.org/officeDocument/2006/relationships/hyperlink" Target="https://www.ontariocourts.ca/decisions/2020/2020ONCA0394.htm" TargetMode="External"/><Relationship Id="rId38" Type="http://schemas.openxmlformats.org/officeDocument/2006/relationships/hyperlink" Target="https://scc-csc.lexum.com/scc-csc/scc-csc/en/item/17097/index.do" TargetMode="External"/><Relationship Id="rId59" Type="http://schemas.openxmlformats.org/officeDocument/2006/relationships/hyperlink" Target="https://coadecisions.ontariocourts.ca/coa/coa/en/item/20775/index.do" TargetMode="External"/><Relationship Id="rId103" Type="http://schemas.openxmlformats.org/officeDocument/2006/relationships/hyperlink" Target="http://www.ontariocourts.ca/decisions/2019/2019ONCA0638.htm" TargetMode="External"/><Relationship Id="rId124" Type="http://schemas.openxmlformats.org/officeDocument/2006/relationships/hyperlink" Target="https://www.ontariocourts.ca/decisions/2021/2021ONCA0271.htm" TargetMode="External"/><Relationship Id="rId70" Type="http://schemas.openxmlformats.org/officeDocument/2006/relationships/hyperlink" Target="http://www.ontariocourts.ca/decisions/2016/2016ONCA0228.htm" TargetMode="External"/><Relationship Id="rId91" Type="http://schemas.openxmlformats.org/officeDocument/2006/relationships/hyperlink" Target="https://coadecisions.ontariocourts.ca/coa/coa/en/item/20795/index.do" TargetMode="External"/><Relationship Id="rId145" Type="http://schemas.openxmlformats.org/officeDocument/2006/relationships/hyperlink" Target="http://www.ontariocourts.ca/decisions/2019/2019ONCA0493.htm" TargetMode="External"/><Relationship Id="rId166" Type="http://schemas.openxmlformats.org/officeDocument/2006/relationships/hyperlink" Target="http://www.ontariocourts.ca/decisions/2018/2018ONCA0879.htm" TargetMode="External"/><Relationship Id="rId187" Type="http://schemas.openxmlformats.org/officeDocument/2006/relationships/hyperlink" Target="http://www.ontariocourts.ca/decisions/2018/2018ONCA0451.htm" TargetMode="External"/><Relationship Id="rId1" Type="http://schemas.openxmlformats.org/officeDocument/2006/relationships/customXml" Target="../customXml/item1.xml"/><Relationship Id="rId212" Type="http://schemas.openxmlformats.org/officeDocument/2006/relationships/hyperlink" Target="https://www.ontariocourts.ca/decisions/2021/2021ONCA0310.htm" TargetMode="External"/><Relationship Id="rId233" Type="http://schemas.openxmlformats.org/officeDocument/2006/relationships/hyperlink" Target="https://www.ontariocourts.ca/decisions/2021/2021ONCA0354.htm" TargetMode="External"/><Relationship Id="rId254" Type="http://schemas.openxmlformats.org/officeDocument/2006/relationships/footer" Target="footer2.xml"/><Relationship Id="rId28" Type="http://schemas.openxmlformats.org/officeDocument/2006/relationships/hyperlink" Target="http://www.ontariocourts.ca/decisions/2018/2018ONCA0173.htm" TargetMode="External"/><Relationship Id="rId49" Type="http://schemas.openxmlformats.org/officeDocument/2006/relationships/hyperlink" Target="https://decisions.scc-csc.ca/scc-csc/scc-csc/en/item/19414/index.do" TargetMode="External"/><Relationship Id="rId114" Type="http://schemas.openxmlformats.org/officeDocument/2006/relationships/hyperlink" Target="http://www.ontariocourts.ca/decisions/2018/2018ONCA0748.htm" TargetMode="External"/><Relationship Id="rId60" Type="http://schemas.openxmlformats.org/officeDocument/2006/relationships/hyperlink" Target="https://www.ontariocourts.ca/decisions/2020/2020ONCA0262.htm" TargetMode="External"/><Relationship Id="rId81" Type="http://schemas.openxmlformats.org/officeDocument/2006/relationships/hyperlink" Target="http://www.ontariocourts.ca/decisions/2017/2017ONCA0619.htm" TargetMode="External"/><Relationship Id="rId135" Type="http://schemas.openxmlformats.org/officeDocument/2006/relationships/hyperlink" Target="http://www.ontariocourts.ca/decisions/2019/2019ONCA0493.htm" TargetMode="External"/><Relationship Id="rId156" Type="http://schemas.openxmlformats.org/officeDocument/2006/relationships/hyperlink" Target="https://www.ontariocourts.ca/decisions/2022/2022ONCA0069.htm" TargetMode="External"/><Relationship Id="rId177" Type="http://schemas.openxmlformats.org/officeDocument/2006/relationships/hyperlink" Target="https://coadecisions.ontariocourts.ca/coa/coa/en/item/21072/index.do" TargetMode="External"/><Relationship Id="rId198" Type="http://schemas.openxmlformats.org/officeDocument/2006/relationships/hyperlink" Target="https://scc-csc.lexum.com/scc-csc/scc-csc/en/item/18237/index.do" TargetMode="External"/><Relationship Id="rId202" Type="http://schemas.openxmlformats.org/officeDocument/2006/relationships/hyperlink" Target="https://www.ontariocourts.ca/decisions/2022/2022ONCA0279.htm" TargetMode="External"/><Relationship Id="rId223" Type="http://schemas.openxmlformats.org/officeDocument/2006/relationships/hyperlink" Target="http://www.ontariocourts.ca/decisions/2017/2017ONCA0290.htm" TargetMode="External"/><Relationship Id="rId244" Type="http://schemas.openxmlformats.org/officeDocument/2006/relationships/hyperlink" Target="https://www.canlii.org/en/sk/skca/doc/2019/2019skca37/2019skca37.html" TargetMode="External"/><Relationship Id="rId18" Type="http://schemas.openxmlformats.org/officeDocument/2006/relationships/hyperlink" Target="https://www.ontariocourts.ca/decisions/2021/2021ONCA0633.htm" TargetMode="External"/><Relationship Id="rId39" Type="http://schemas.openxmlformats.org/officeDocument/2006/relationships/hyperlink" Target="https://qweri.lexum.com/w/calegis/rsc-1985-c-c-46-en" TargetMode="External"/><Relationship Id="rId50" Type="http://schemas.openxmlformats.org/officeDocument/2006/relationships/hyperlink" Target="https://www.ontariocourts.ca/decisions/2022/2022ONCA0103.htm" TargetMode="External"/><Relationship Id="rId104" Type="http://schemas.openxmlformats.org/officeDocument/2006/relationships/hyperlink" Target="http://www.ontariocourts.ca/decisions/2018/2018ONCA0590.htm" TargetMode="External"/><Relationship Id="rId125" Type="http://schemas.openxmlformats.org/officeDocument/2006/relationships/hyperlink" Target="https://www.ontariocourts.ca/decisions/2021/2021ONCA0271.htm" TargetMode="External"/><Relationship Id="rId146" Type="http://schemas.openxmlformats.org/officeDocument/2006/relationships/hyperlink" Target="http://www.ontariocourts.ca/decisions/2019/2019ONCA0493.htm" TargetMode="External"/><Relationship Id="rId167" Type="http://schemas.openxmlformats.org/officeDocument/2006/relationships/hyperlink" Target="http://www.ontariocourts.ca/decisions/2019/2019ONCA0535.htm" TargetMode="External"/><Relationship Id="rId188" Type="http://schemas.openxmlformats.org/officeDocument/2006/relationships/hyperlink" Target="https://www.ontariocourts.ca/decisions/2019/2019ONCA0631.htm" TargetMode="External"/><Relationship Id="rId71" Type="http://schemas.openxmlformats.org/officeDocument/2006/relationships/hyperlink" Target="http://www.ontariocourts.ca/decisions/2018/2018ONCA1027.htm" TargetMode="External"/><Relationship Id="rId92" Type="http://schemas.openxmlformats.org/officeDocument/2006/relationships/hyperlink" Target="https://coadecisions.ontariocourts.ca/coa/coa/en/item/20795/index.do" TargetMode="External"/><Relationship Id="rId213" Type="http://schemas.openxmlformats.org/officeDocument/2006/relationships/hyperlink" Target="https://www.ontariocourts.ca/decisions/2020/2020ONCA0230.htm" TargetMode="External"/><Relationship Id="rId234" Type="http://schemas.openxmlformats.org/officeDocument/2006/relationships/hyperlink" Target="https://www.ontariocourts.ca/decisions/2021/2021ONCA0354.htm" TargetMode="External"/><Relationship Id="rId2" Type="http://schemas.openxmlformats.org/officeDocument/2006/relationships/numbering" Target="numbering.xml"/><Relationship Id="rId29" Type="http://schemas.openxmlformats.org/officeDocument/2006/relationships/hyperlink" Target="http://www.ontariocourts.ca/decisions/2018/2018ONCA0925.htm" TargetMode="External"/><Relationship Id="rId255" Type="http://schemas.openxmlformats.org/officeDocument/2006/relationships/fontTable" Target="fontTable.xml"/><Relationship Id="rId40" Type="http://schemas.openxmlformats.org/officeDocument/2006/relationships/hyperlink" Target="https://qweri.lexum.com/w/calegis/rsc-1985-c-c-46-en" TargetMode="External"/><Relationship Id="rId115" Type="http://schemas.openxmlformats.org/officeDocument/2006/relationships/hyperlink" Target="http://www.ontariocourts.ca/decisions/2017/2017ONCA0702.htm" TargetMode="External"/><Relationship Id="rId136" Type="http://schemas.openxmlformats.org/officeDocument/2006/relationships/hyperlink" Target="https://scc-csc.lexum.com/scc-csc/scc-csc/en/item/18884/index.do" TargetMode="External"/><Relationship Id="rId157" Type="http://schemas.openxmlformats.org/officeDocument/2006/relationships/hyperlink" Target="https://scc-csc.lexum.com/scc-csc/scc-csc/en/item/10008/index.do" TargetMode="External"/><Relationship Id="rId178" Type="http://schemas.openxmlformats.org/officeDocument/2006/relationships/hyperlink" Target="https://coadecisions.ontariocourts.ca/coa/coa/en/item/21072/index.do" TargetMode="External"/><Relationship Id="rId61" Type="http://schemas.openxmlformats.org/officeDocument/2006/relationships/hyperlink" Target="https://www.ontariocourts.ca/decisions/2022/2022ONCA0409.htm" TargetMode="External"/><Relationship Id="rId82" Type="http://schemas.openxmlformats.org/officeDocument/2006/relationships/hyperlink" Target="https://www.ontariocourts.ca/decisions/2020/2020ONCA0221.htm" TargetMode="External"/><Relationship Id="rId199" Type="http://schemas.openxmlformats.org/officeDocument/2006/relationships/hyperlink" Target="https://www.ontariocourts.ca/decisions/2021/2021ONCA0258.htm" TargetMode="External"/><Relationship Id="rId203" Type="http://schemas.openxmlformats.org/officeDocument/2006/relationships/hyperlink" Target="https://www.ontariocourts.ca/decisions/2019/2019ONCA0631.htm" TargetMode="External"/><Relationship Id="rId19" Type="http://schemas.openxmlformats.org/officeDocument/2006/relationships/hyperlink" Target="http://www.ontariocourts.ca/decisions/2019/2019ONCA0474.htm" TargetMode="External"/><Relationship Id="rId224" Type="http://schemas.openxmlformats.org/officeDocument/2006/relationships/hyperlink" Target="https://www.ontariocourts.ca/decisions/2021/2021ONCA0113.htm" TargetMode="External"/><Relationship Id="rId245" Type="http://schemas.openxmlformats.org/officeDocument/2006/relationships/hyperlink" Target="https://coadecisions.ontariocourts.ca/coa/coa/en/item/20851/index.do" TargetMode="External"/><Relationship Id="rId30" Type="http://schemas.openxmlformats.org/officeDocument/2006/relationships/hyperlink" Target="https://www.ontariocourts.ca/decisions/2020/2020ONCA0343.htm" TargetMode="External"/><Relationship Id="rId105" Type="http://schemas.openxmlformats.org/officeDocument/2006/relationships/hyperlink" Target="https://coadecisions.ontariocourts.ca/coa/coa/en/item/20795/index.do" TargetMode="External"/><Relationship Id="rId126" Type="http://schemas.openxmlformats.org/officeDocument/2006/relationships/hyperlink" Target="http://www.ontariocourts.ca/decisions/2018/2018ONCA0197.htm" TargetMode="External"/><Relationship Id="rId147" Type="http://schemas.openxmlformats.org/officeDocument/2006/relationships/hyperlink" Target="http://www.ontariocourts.ca/decisions/2018/2018ONCA1001.htm" TargetMode="External"/><Relationship Id="rId168" Type="http://schemas.openxmlformats.org/officeDocument/2006/relationships/hyperlink" Target="https://scc-csc.lexum.com/scc-csc/scc-csc/en/item/17800/index.do" TargetMode="External"/><Relationship Id="rId51" Type="http://schemas.openxmlformats.org/officeDocument/2006/relationships/hyperlink" Target="https://coadecisions.ontariocourts.ca/coa/coa/en/item/20775/index.do" TargetMode="External"/><Relationship Id="rId72" Type="http://schemas.openxmlformats.org/officeDocument/2006/relationships/hyperlink" Target="http://www.ontariocourts.ca/decisions/2019/2019ONCA0776.htm" TargetMode="External"/><Relationship Id="rId93" Type="http://schemas.openxmlformats.org/officeDocument/2006/relationships/hyperlink" Target="https://www.ontariocourts.ca/decisions/2020/2020ONCA0334.htm" TargetMode="External"/><Relationship Id="rId189" Type="http://schemas.openxmlformats.org/officeDocument/2006/relationships/hyperlink" Target="https://www.ontariocourts.ca/decisions/2022/2022ONCA0279.htm" TargetMode="External"/><Relationship Id="rId3" Type="http://schemas.openxmlformats.org/officeDocument/2006/relationships/styles" Target="styles.xml"/><Relationship Id="rId214" Type="http://schemas.openxmlformats.org/officeDocument/2006/relationships/hyperlink" Target="https://www.ontariocourts.ca/decisions/2021/2021ONCA0034.htmhttps:/www.ontariocourts.ca/decisions/2021/2021ONCA0034.htm" TargetMode="External"/><Relationship Id="rId235" Type="http://schemas.openxmlformats.org/officeDocument/2006/relationships/hyperlink" Target="https://www.ontariocourts.ca/decisions/2022/2022ONCA0289.htm" TargetMode="External"/><Relationship Id="rId256" Type="http://schemas.openxmlformats.org/officeDocument/2006/relationships/theme" Target="theme/theme1.xml"/><Relationship Id="rId116" Type="http://schemas.openxmlformats.org/officeDocument/2006/relationships/hyperlink" Target="https://scc-csc.lexum.com/scc-csc/scc-csc/en/item/19044/index.do" TargetMode="External"/><Relationship Id="rId137" Type="http://schemas.openxmlformats.org/officeDocument/2006/relationships/hyperlink" Target="https://scc-csc.lexum.com/scc-csc/scc-csc/en/item/19186/index.do" TargetMode="External"/><Relationship Id="rId158" Type="http://schemas.openxmlformats.org/officeDocument/2006/relationships/hyperlink" Target="https://coadecisions.ontariocourts.ca/coa/coa/en/item/21128/index.do" TargetMode="External"/><Relationship Id="rId20" Type="http://schemas.openxmlformats.org/officeDocument/2006/relationships/hyperlink" Target="http://www.ontariocourts.ca/decisions/2019/2019ONCA0022.htm" TargetMode="External"/><Relationship Id="rId41" Type="http://schemas.openxmlformats.org/officeDocument/2006/relationships/hyperlink" Target="https://decisions.scc-csc.ca/scc-csc/scc-csc/en/item/19414/index.do" TargetMode="External"/><Relationship Id="rId62" Type="http://schemas.openxmlformats.org/officeDocument/2006/relationships/hyperlink" Target="https://qweri.lexum.com/calegis/rsc-1985-c-c-46-en" TargetMode="External"/><Relationship Id="rId83" Type="http://schemas.openxmlformats.org/officeDocument/2006/relationships/hyperlink" Target="https://www.ontariocourts.ca/decisions/2017/2017ONCA0645.htm" TargetMode="External"/><Relationship Id="rId179" Type="http://schemas.openxmlformats.org/officeDocument/2006/relationships/hyperlink" Target="https://coadecisions.ontariocourts.ca/coa/coa/en/item/21072/index.do" TargetMode="External"/><Relationship Id="rId190" Type="http://schemas.openxmlformats.org/officeDocument/2006/relationships/hyperlink" Target="http://www.ontariocourts.ca/decisions/2018/2018ONCA0451.htm" TargetMode="External"/><Relationship Id="rId204" Type="http://schemas.openxmlformats.org/officeDocument/2006/relationships/hyperlink" Target="https://www.ontariocourts.ca/decisions/2019/2019ONCA0631.htm" TargetMode="External"/><Relationship Id="rId225" Type="http://schemas.openxmlformats.org/officeDocument/2006/relationships/hyperlink" Target="https://www.ontariocourts.ca/decisions/2021/2021ONCA0082.htm" TargetMode="External"/><Relationship Id="rId246" Type="http://schemas.openxmlformats.org/officeDocument/2006/relationships/hyperlink" Target="https://www.salih-criminallaw.com/possession" TargetMode="External"/><Relationship Id="rId106" Type="http://schemas.openxmlformats.org/officeDocument/2006/relationships/hyperlink" Target="http://www.ontariocourts.ca/decisions/2018/2018ONCA0384.htm" TargetMode="External"/><Relationship Id="rId127" Type="http://schemas.openxmlformats.org/officeDocument/2006/relationships/hyperlink" Target="http://www.ontariocourts.ca/decisions/2018/2018ONCA0971.htm" TargetMode="External"/><Relationship Id="rId10" Type="http://schemas.openxmlformats.org/officeDocument/2006/relationships/hyperlink" Target="http://www.ontariocourts.ca/decisions/2018/2018ONCA0971.htm" TargetMode="External"/><Relationship Id="rId31" Type="http://schemas.openxmlformats.org/officeDocument/2006/relationships/hyperlink" Target="https://coadecisions.ontariocourts.ca/coa/coa/en/item/20662/index.do" TargetMode="External"/><Relationship Id="rId52" Type="http://schemas.openxmlformats.org/officeDocument/2006/relationships/hyperlink" Target="https://coadecisions.ontariocourts.ca/coa/coa/en/item/20775/index.do" TargetMode="External"/><Relationship Id="rId73" Type="http://schemas.openxmlformats.org/officeDocument/2006/relationships/hyperlink" Target="http://www.ontariocourts.ca/decisions/2017/2017ONCA0619.htm" TargetMode="External"/><Relationship Id="rId94" Type="http://schemas.openxmlformats.org/officeDocument/2006/relationships/hyperlink" Target="http://www.ontariocourts.ca/decisions/2015/2015ONCA0831.htm" TargetMode="External"/><Relationship Id="rId148" Type="http://schemas.openxmlformats.org/officeDocument/2006/relationships/hyperlink" Target="https://scc-csc.lexum.com/scc-csc/scc-csc/en/item/18884/index.do" TargetMode="External"/><Relationship Id="rId169" Type="http://schemas.openxmlformats.org/officeDocument/2006/relationships/hyperlink" Target="http://www.ontariocourts.ca/decisions/2019/2019ONCA0106.htm" TargetMode="External"/><Relationship Id="rId4" Type="http://schemas.openxmlformats.org/officeDocument/2006/relationships/settings" Target="settings.xml"/><Relationship Id="rId180" Type="http://schemas.openxmlformats.org/officeDocument/2006/relationships/hyperlink" Target="https://www.ontariocourts.ca/decisions/2019/2019ONCA0663.htm" TargetMode="External"/><Relationship Id="rId215" Type="http://schemas.openxmlformats.org/officeDocument/2006/relationships/hyperlink" Target="http://www.ontariocourts.ca/decisions/2016/2016ONCA0358.htm" TargetMode="External"/><Relationship Id="rId236" Type="http://schemas.openxmlformats.org/officeDocument/2006/relationships/hyperlink" Target="https://www.ontariocourts.ca/decisions/2022/2022ONCA02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A6E2-AB02-7349-9452-EF1F6DF8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26244</Words>
  <Characters>149596</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3</cp:revision>
  <cp:lastPrinted>2020-10-19T02:33:00Z</cp:lastPrinted>
  <dcterms:created xsi:type="dcterms:W3CDTF">2023-05-07T00:08:00Z</dcterms:created>
  <dcterms:modified xsi:type="dcterms:W3CDTF">2023-05-07T00:08:00Z</dcterms:modified>
</cp:coreProperties>
</file>